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0A500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0A5001" w:rsidRDefault="00BF539B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0A500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BF539B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0A5001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001" w:rsidRDefault="00BF539B">
            <w:pPr>
              <w:jc w:val="both"/>
            </w:pPr>
            <w:r>
              <w:t xml:space="preserve">Üniversite üst yönetimi tarafından belirlenen </w:t>
            </w:r>
            <w:proofErr w:type="gramStart"/>
            <w:r>
              <w:t>vizyon</w:t>
            </w:r>
            <w:proofErr w:type="gramEnd"/>
            <w:r>
              <w:t>, misyon, amaç ve ilkeler doğrultusunda; Fakültenin vizyon ve misyonunu gerçekleştirmek için eğitim-öğretimin ve idari işlerin etkinlik, verimlilik ve etik ilkelerine göre planlanması, örgütlenmesi, yönlendirilmesi, koordine edilmesi, kararlar alınması ve denetlenmesidir.</w:t>
            </w:r>
          </w:p>
          <w:p w:rsidR="000A5001" w:rsidRDefault="000A5001"/>
        </w:tc>
      </w:tr>
      <w:tr w:rsidR="000A5001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BF539B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0A5001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917" w:rsidRDefault="00097917" w:rsidP="00097917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Genel Görev ve Sorumluluklar</w:t>
            </w:r>
          </w:p>
          <w:p w:rsidR="00097917" w:rsidRDefault="00A652C8" w:rsidP="00A652C8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 xml:space="preserve">Yükseköğretim Kanunu’ </w:t>
            </w:r>
            <w:proofErr w:type="spellStart"/>
            <w:r>
              <w:t>nun</w:t>
            </w:r>
            <w:proofErr w:type="spellEnd"/>
            <w:r>
              <w:t xml:space="preserve"> 4 ve 5. maddelerinde belirtilen amaç ve ilkelere uygun hareket eder.</w:t>
            </w:r>
          </w:p>
          <w:p w:rsidR="000A5001" w:rsidRDefault="00B840D5">
            <w:pPr>
              <w:numPr>
                <w:ilvl w:val="0"/>
                <w:numId w:val="2"/>
              </w:numPr>
              <w:jc w:val="both"/>
            </w:pPr>
            <w:r>
              <w:t xml:space="preserve">Fakülte Akademik Kurulu, Fakülte Kurulu, Fakülte Yönetim Kurulu ve Fakülte Disiplin Kuruluna </w:t>
            </w:r>
            <w:r w:rsidR="00BF539B">
              <w:t>başkanlık etmek, Fakülte kurullarının kararlarını uygulamak ve Fakülte birimleri arası</w:t>
            </w:r>
            <w:r w:rsidR="00097917">
              <w:t>nda düzenli çalışmayı sağlar.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>Her öğretim yılı sonunda ve istendiğinde Fakültenin genel durumu ve işleyişi</w:t>
            </w:r>
            <w:r w:rsidR="00097917">
              <w:t xml:space="preserve"> hakkında rektöre rapor verir.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>Fakültenin ödenek ve kadro gereksinimlerini gerekçesi ile birlikte Rektörlüğe bildirmek, Fakülte bütçesi ile i</w:t>
            </w:r>
            <w:r w:rsidR="00097917">
              <w:t>lgili öneriyi Rektörlüğe sunar.</w:t>
            </w:r>
            <w:r>
              <w:t xml:space="preserve"> 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 xml:space="preserve">Fakültenin birimleri arasında eşgüdümü (koordinasyonu) sağlamak ve her düzeydeki personel üzerinde genel gözetim ve denetim görevini sürdürmek, sicil </w:t>
            </w:r>
            <w:r w:rsidR="00097917">
              <w:t>ile ilgili hizmetleri yürütür.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>Kendisine çalışmalarında yardımcı olmak üzere Fakültenin aylıklı öğretim üyeleri arasından en çok iki kişiyi</w:t>
            </w:r>
            <w:r w:rsidR="00097917">
              <w:t xml:space="preserve"> dekan yardımcısı olarak seçer.</w:t>
            </w:r>
            <w:r>
              <w:t xml:space="preserve"> 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 xml:space="preserve">Dekan Yardımcılarının görev alanlarını saptamak, kendilerine devredilecek yetkileri belirlemek, yönetim ilkeleri </w:t>
            </w:r>
            <w:r w:rsidR="00097917">
              <w:t>hakkında görüş birliği sağlar.</w:t>
            </w:r>
            <w:r>
              <w:t xml:space="preserve"> 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 xml:space="preserve">Fakültenin amaçlarına uygun görevleri yerine getirmek üzere kurulan bölümler ile anabilim dallarının başkanlarını </w:t>
            </w:r>
            <w:r w:rsidR="00097917">
              <w:t>atamak ve Rektörlüğe bildirir.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>Fakülte içindeki birimler ve kişiler arasında; Fakülte ile dış kurumlar arasında iletişim ağını</w:t>
            </w:r>
            <w:r w:rsidR="00097917">
              <w:t xml:space="preserve"> kurmak, ilişkileri geliştirir.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 xml:space="preserve">Akademik bir organ olan Fakülte Kurulunu ilgili yasa ve yönetmeliğin hükümleri çerçevesinde oluşturmak; Kurul toplantılarında başkanlık yapmak, Fakültenin eğitim-öğretim, bilimsel araştırma ve yayın çalışmaları ve bu çalışmalarla ilgili esaslar; plan, program ve akademik takvim ile ilgili kararlar verilmesini sağlamak </w:t>
            </w:r>
            <w:r w:rsidR="00097917">
              <w:t>ve verilen kararları uygular.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 xml:space="preserve">Yönetsel bir organ olan Fakülte Yönetim Kurulunu ilgili yasa ve yönetmeliğin hükümleri çerçevesinde oluşturmak; Kurul toplantılarına başkanlık yapmak, Fakültenin yönetimi ile ilgili konularda kararlar verilmesini sağlamak </w:t>
            </w:r>
            <w:r w:rsidR="00097917">
              <w:t>ve verilen kararları uygular.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>Üniversite Yönetim Kurulunda ve Üniversite Senatosunda Fakülte ile ilgili konularda gerekli bilgileri sunmak, kararlara esas olabilecek seçenekler üretme</w:t>
            </w:r>
            <w:r w:rsidR="00097917">
              <w:t>k, Fakülte çıkarlarını kollar.</w:t>
            </w:r>
            <w:r>
              <w:t xml:space="preserve"> </w:t>
            </w:r>
          </w:p>
          <w:p w:rsidR="000A5001" w:rsidRDefault="00BF539B" w:rsidP="00097917">
            <w:pPr>
              <w:numPr>
                <w:ilvl w:val="0"/>
                <w:numId w:val="2"/>
              </w:numPr>
              <w:jc w:val="both"/>
            </w:pPr>
            <w:r>
              <w:t xml:space="preserve">Çağdaş eğitim-öğretim esaslarına dayanan bir düzen içinde; eğitim sorunları ile ilgili inceleme ve araştırmaların yapılmasını, panel, </w:t>
            </w:r>
            <w:proofErr w:type="gramStart"/>
            <w:r>
              <w:t>sempozyum</w:t>
            </w:r>
            <w:proofErr w:type="gramEnd"/>
            <w:r>
              <w:t>, konferans vb. bilimsel toplantıların düzenlenmesini; akademik personelin yurt içi ve yurt dışı top</w:t>
            </w:r>
            <w:r w:rsidR="00097917">
              <w:t>lantılara katılmasını sağlar.</w:t>
            </w:r>
          </w:p>
          <w:p w:rsidR="000A5001" w:rsidRDefault="00BF539B" w:rsidP="00097917">
            <w:pPr>
              <w:numPr>
                <w:ilvl w:val="0"/>
                <w:numId w:val="2"/>
              </w:numPr>
              <w:jc w:val="both"/>
            </w:pPr>
            <w:r>
              <w:lastRenderedPageBreak/>
              <w:t>Fakültede personel hizmetleri, öğrenci işleri, eğitim ve öğretim ile ilgili hizmetleri</w:t>
            </w:r>
            <w:r w:rsidR="00097917">
              <w:t>n yerine getirilmesini sağlar.</w:t>
            </w:r>
            <w:r>
              <w:t xml:space="preserve"> 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 xml:space="preserve">Eğitim hizmeti isteminde bulunan kamu kurumlarının ve özel sektör kuruluşlarının beklentilerini karşılamak üzere hizmet içi eğitim programları hazırlanmasına ve </w:t>
            </w:r>
            <w:r w:rsidR="00097917">
              <w:t>uygulanmasına katkıda bulunur.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>Her öğretim yılı sonunda bölüm başkanlarından eğitim-öğretim, araştırma etkinlikleri ile ilgili raporlar almak ve kendi görüşünü de ekleyerek is</w:t>
            </w:r>
            <w:r w:rsidR="00097917">
              <w:t>tenildiğinde Rektörlüğe sunar.</w:t>
            </w:r>
          </w:p>
          <w:p w:rsidR="005B3ADD" w:rsidRDefault="005B3ADD" w:rsidP="005B3ADD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</w:p>
          <w:p w:rsidR="005B3ADD" w:rsidRDefault="005B3ADD" w:rsidP="005B3ADD">
            <w:pPr>
              <w:ind w:left="720"/>
              <w:jc w:val="both"/>
            </w:pPr>
            <w:bookmarkStart w:id="0" w:name="_GoBack"/>
            <w:bookmarkEnd w:id="0"/>
          </w:p>
          <w:p w:rsidR="000A5001" w:rsidRDefault="000A5001"/>
        </w:tc>
      </w:tr>
      <w:tr w:rsidR="000A500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BF539B">
            <w:pPr>
              <w:rPr>
                <w:sz w:val="28"/>
              </w:rPr>
            </w:pPr>
            <w:r>
              <w:rPr>
                <w:b/>
              </w:rPr>
              <w:lastRenderedPageBreak/>
              <w:t>Yetkiler</w:t>
            </w:r>
          </w:p>
        </w:tc>
      </w:tr>
      <w:tr w:rsidR="000A5001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001" w:rsidRDefault="000A5001"/>
          <w:p w:rsidR="000A5001" w:rsidRDefault="000A5001"/>
          <w:p w:rsidR="000A5001" w:rsidRDefault="000A5001"/>
          <w:p w:rsidR="000A5001" w:rsidRDefault="000A5001"/>
        </w:tc>
      </w:tr>
      <w:tr w:rsidR="000A500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BF539B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0A5001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001" w:rsidRDefault="00BF539B">
            <w:pPr>
              <w:numPr>
                <w:ilvl w:val="0"/>
                <w:numId w:val="2"/>
              </w:numPr>
            </w:pPr>
            <w:r>
              <w:t xml:space="preserve">657 Sayılı Devlet Memurları Kanunu </w:t>
            </w:r>
          </w:p>
          <w:p w:rsidR="000A5001" w:rsidRDefault="00BF539B">
            <w:pPr>
              <w:numPr>
                <w:ilvl w:val="0"/>
                <w:numId w:val="2"/>
              </w:numPr>
            </w:pPr>
            <w:r>
              <w:t>2547 Sayılı Yükseköğretim Kanunu</w:t>
            </w:r>
          </w:p>
          <w:p w:rsidR="000A5001" w:rsidRDefault="00BF539B">
            <w:pPr>
              <w:numPr>
                <w:ilvl w:val="0"/>
                <w:numId w:val="2"/>
              </w:numPr>
            </w:pPr>
            <w:r>
              <w:t>Üniversite Akademik Teşkilât Yönetmeliği</w:t>
            </w:r>
          </w:p>
          <w:p w:rsidR="000A5001" w:rsidRDefault="000A5001"/>
        </w:tc>
      </w:tr>
      <w:tr w:rsidR="000A500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0A5001" w:rsidRDefault="00BF539B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0A500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BF539B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0A5001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0A5001"/>
        </w:tc>
      </w:tr>
      <w:tr w:rsidR="000A500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BF539B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0A5001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0A5001"/>
          <w:p w:rsidR="000A5001" w:rsidRDefault="000A5001"/>
          <w:p w:rsidR="000A5001" w:rsidRDefault="000A5001"/>
          <w:p w:rsidR="000A5001" w:rsidRDefault="000A5001"/>
        </w:tc>
      </w:tr>
      <w:tr w:rsidR="000A500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BF539B">
            <w:pPr>
              <w:rPr>
                <w:sz w:val="28"/>
              </w:rPr>
            </w:pPr>
            <w:r>
              <w:rPr>
                <w:b/>
              </w:rPr>
              <w:t>Gerekli Yabancı Dil Bilgisi ve Düzeyi</w:t>
            </w:r>
          </w:p>
        </w:tc>
      </w:tr>
      <w:tr w:rsidR="000A5001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0A5001"/>
          <w:p w:rsidR="000A5001" w:rsidRDefault="000A5001"/>
          <w:p w:rsidR="000A5001" w:rsidRDefault="000A5001"/>
          <w:p w:rsidR="000A5001" w:rsidRDefault="000A5001"/>
        </w:tc>
      </w:tr>
      <w:tr w:rsidR="000A500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BF539B">
            <w:pPr>
              <w:rPr>
                <w:sz w:val="28"/>
              </w:rPr>
            </w:pPr>
            <w:r>
              <w:rPr>
                <w:b/>
              </w:rPr>
              <w:t xml:space="preserve">Gerekli Hizmet </w:t>
            </w:r>
            <w:proofErr w:type="spellStart"/>
            <w:r>
              <w:rPr>
                <w:b/>
              </w:rPr>
              <w:t>Süres</w:t>
            </w:r>
            <w:proofErr w:type="spellEnd"/>
          </w:p>
        </w:tc>
      </w:tr>
      <w:tr w:rsidR="000A500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0A5001"/>
          <w:p w:rsidR="000A5001" w:rsidRDefault="000A5001"/>
          <w:p w:rsidR="000A5001" w:rsidRDefault="000A5001"/>
          <w:p w:rsidR="000A5001" w:rsidRDefault="000A5001"/>
        </w:tc>
      </w:tr>
      <w:tr w:rsidR="000A5001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BF539B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0A5001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>657 sayılı Devlet Memurları Kanunu’nda ve 2547 sayılı Yüksek Öğretim Kanunu’nda belirtilen genel niteliklere sahip olmak.</w:t>
            </w:r>
          </w:p>
          <w:p w:rsidR="000A5001" w:rsidRDefault="00BF539B">
            <w:pPr>
              <w:numPr>
                <w:ilvl w:val="0"/>
                <w:numId w:val="2"/>
              </w:numPr>
              <w:jc w:val="both"/>
            </w:pPr>
            <w:r>
              <w:t>Araştırma odaklı olma, öğrenci odaklı olma, yaşam boyu öğrenme becerilerine sahip olmak.</w:t>
            </w:r>
          </w:p>
        </w:tc>
      </w:tr>
    </w:tbl>
    <w:p w:rsidR="000A5001" w:rsidRDefault="000A5001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0A5001">
        <w:trPr>
          <w:trHeight w:val="648"/>
        </w:trPr>
        <w:tc>
          <w:tcPr>
            <w:tcW w:w="9133" w:type="dxa"/>
            <w:vAlign w:val="center"/>
          </w:tcPr>
          <w:p w:rsidR="000A5001" w:rsidRDefault="00BF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Hazırlayan</w:t>
            </w:r>
          </w:p>
        </w:tc>
        <w:tc>
          <w:tcPr>
            <w:tcW w:w="9133" w:type="dxa"/>
            <w:vAlign w:val="center"/>
          </w:tcPr>
          <w:p w:rsidR="000A5001" w:rsidRDefault="00BF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0A5001" w:rsidRDefault="00BF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0A5001">
        <w:trPr>
          <w:trHeight w:val="828"/>
        </w:trPr>
        <w:tc>
          <w:tcPr>
            <w:tcW w:w="9133" w:type="dxa"/>
          </w:tcPr>
          <w:p w:rsidR="000A5001" w:rsidRDefault="000A5001"/>
        </w:tc>
        <w:tc>
          <w:tcPr>
            <w:tcW w:w="9133" w:type="dxa"/>
          </w:tcPr>
          <w:p w:rsidR="000A5001" w:rsidRDefault="000A5001"/>
        </w:tc>
        <w:tc>
          <w:tcPr>
            <w:tcW w:w="9133" w:type="dxa"/>
          </w:tcPr>
          <w:p w:rsidR="000A5001" w:rsidRDefault="000A5001"/>
        </w:tc>
      </w:tr>
      <w:tr w:rsidR="000A5001">
        <w:trPr>
          <w:trHeight w:val="414"/>
        </w:trPr>
        <w:tc>
          <w:tcPr>
            <w:tcW w:w="9133" w:type="dxa"/>
            <w:vAlign w:val="center"/>
          </w:tcPr>
          <w:p w:rsidR="000A5001" w:rsidRDefault="00BF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0A5001" w:rsidRDefault="00BF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0A5001" w:rsidRDefault="00BF53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0A5001" w:rsidRDefault="000A5001"/>
    <w:sectPr w:rsidR="000A5001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B7" w:rsidRDefault="006344B7">
      <w:pPr>
        <w:spacing w:after="0" w:line="240" w:lineRule="auto"/>
      </w:pPr>
      <w:r>
        <w:separator/>
      </w:r>
    </w:p>
  </w:endnote>
  <w:endnote w:type="continuationSeparator" w:id="0">
    <w:p w:rsidR="006344B7" w:rsidRDefault="0063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01" w:rsidRDefault="00BF539B">
    <w:pPr>
      <w:jc w:val="center"/>
    </w:pPr>
    <w:r>
      <w:fldChar w:fldCharType="begin"/>
    </w:r>
    <w:r>
      <w:instrText>NUMPAGES</w:instrText>
    </w:r>
    <w:r>
      <w:fldChar w:fldCharType="separate"/>
    </w:r>
    <w:r w:rsidR="005B3AD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B7" w:rsidRDefault="006344B7">
      <w:pPr>
        <w:spacing w:after="0" w:line="240" w:lineRule="auto"/>
      </w:pPr>
      <w:r>
        <w:separator/>
      </w:r>
    </w:p>
  </w:footnote>
  <w:footnote w:type="continuationSeparator" w:id="0">
    <w:p w:rsidR="006344B7" w:rsidRDefault="0063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01" w:rsidRDefault="000A5001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0A5001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A5001" w:rsidRDefault="00BF539B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0A500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A5001" w:rsidRDefault="00BF539B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5001" w:rsidRDefault="00BF539B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A5001" w:rsidRDefault="00BF539B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A500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A5001" w:rsidRDefault="00BF539B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5001" w:rsidRDefault="000A5001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0A5001" w:rsidRDefault="000A5001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0A500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A5001" w:rsidRDefault="00BF539B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5001" w:rsidRDefault="00BF539B">
          <w:pPr>
            <w:keepLines/>
          </w:pPr>
          <w:r>
            <w:rPr>
              <w:b/>
            </w:rPr>
            <w:t>DEKAN</w:t>
          </w:r>
        </w:p>
      </w:tc>
      <w:tc>
        <w:tcPr>
          <w:tcW w:w="4057" w:type="dxa"/>
          <w:vMerge/>
        </w:tcPr>
        <w:p w:rsidR="000A5001" w:rsidRDefault="000A5001">
          <w:pPr>
            <w:keepLines/>
          </w:pPr>
        </w:p>
      </w:tc>
    </w:tr>
    <w:tr w:rsidR="000A500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A5001" w:rsidRDefault="00BF539B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5001" w:rsidRDefault="000A5001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0A5001" w:rsidRDefault="000A5001">
          <w:pPr>
            <w:keepLines/>
            <w:rPr>
              <w:b/>
            </w:rPr>
          </w:pPr>
        </w:p>
      </w:tc>
    </w:tr>
    <w:tr w:rsidR="000A500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A5001" w:rsidRDefault="00BF539B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5001" w:rsidRDefault="000A5001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0A5001" w:rsidRDefault="000A5001">
          <w:pPr>
            <w:keepLines/>
            <w:rPr>
              <w:b/>
            </w:rPr>
          </w:pPr>
        </w:p>
      </w:tc>
    </w:tr>
    <w:tr w:rsidR="000A5001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A5001" w:rsidRDefault="00BF539B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5001" w:rsidRDefault="00BF539B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0A5001" w:rsidRDefault="000A5001">
          <w:pPr>
            <w:keepLines/>
          </w:pPr>
        </w:p>
      </w:tc>
    </w:tr>
  </w:tbl>
  <w:p w:rsidR="000A5001" w:rsidRDefault="000A500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674"/>
    <w:multiLevelType w:val="hybridMultilevel"/>
    <w:tmpl w:val="9EFED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07DA"/>
    <w:multiLevelType w:val="multilevel"/>
    <w:tmpl w:val="DEAE6CD4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7AC84B9A"/>
    <w:multiLevelType w:val="multilevel"/>
    <w:tmpl w:val="792AD90E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01"/>
    <w:rsid w:val="00097917"/>
    <w:rsid w:val="000A5001"/>
    <w:rsid w:val="0053572C"/>
    <w:rsid w:val="005B3ADD"/>
    <w:rsid w:val="006344B7"/>
    <w:rsid w:val="009949BC"/>
    <w:rsid w:val="009D7A60"/>
    <w:rsid w:val="00A652C8"/>
    <w:rsid w:val="00B840D5"/>
    <w:rsid w:val="00B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2776"/>
  <w15:docId w15:val="{765A4D5A-72E9-4992-BAAE-F36D8EA1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5</cp:revision>
  <cp:lastPrinted>2016-09-02T13:22:00Z</cp:lastPrinted>
  <dcterms:created xsi:type="dcterms:W3CDTF">2022-04-19T07:57:00Z</dcterms:created>
  <dcterms:modified xsi:type="dcterms:W3CDTF">2022-07-04T07:00:00Z</dcterms:modified>
</cp:coreProperties>
</file>