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2844EE">
        <w:tc>
          <w:tcPr>
            <w:tcW w:w="9133" w:type="dxa"/>
            <w:tcBorders>
              <w:top w:val="single" w:sz="6" w:space="0" w:color="000000"/>
              <w:left w:val="single" w:sz="6" w:space="0" w:color="000000"/>
              <w:bottom w:val="single" w:sz="6" w:space="0" w:color="000000"/>
              <w:right w:val="single" w:sz="6" w:space="0" w:color="000000"/>
            </w:tcBorders>
            <w:shd w:val="clear" w:color="auto" w:fill="BCD7ED"/>
          </w:tcPr>
          <w:p w:rsidR="002844EE" w:rsidRDefault="00C23654">
            <w:pPr>
              <w:contextualSpacing/>
              <w:rPr>
                <w:sz w:val="28"/>
              </w:rPr>
            </w:pPr>
            <w:r>
              <w:rPr>
                <w:b/>
              </w:rPr>
              <w:t>A- İŞE İLİŞKİN BİLGİLER</w:t>
            </w:r>
          </w:p>
        </w:tc>
      </w:tr>
      <w:tr w:rsidR="002844EE">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844EE" w:rsidRDefault="00C23654">
            <w:pPr>
              <w:shd w:val="clear" w:color="auto" w:fill="FFFFFF"/>
              <w:tabs>
                <w:tab w:val="left" w:pos="2025"/>
              </w:tabs>
              <w:rPr>
                <w:sz w:val="28"/>
              </w:rPr>
            </w:pPr>
            <w:r>
              <w:rPr>
                <w:b/>
              </w:rPr>
              <w:t>İşin Kısa Tanımı</w:t>
            </w:r>
          </w:p>
        </w:tc>
      </w:tr>
      <w:tr w:rsidR="002844EE">
        <w:trPr>
          <w:trHeight w:val="768"/>
        </w:trPr>
        <w:tc>
          <w:tcPr>
            <w:tcW w:w="9133" w:type="dxa"/>
            <w:tcBorders>
              <w:top w:val="single" w:sz="6" w:space="0" w:color="000000"/>
              <w:left w:val="single" w:sz="6" w:space="0" w:color="000000"/>
              <w:bottom w:val="single" w:sz="6" w:space="0" w:color="000000"/>
              <w:right w:val="single" w:sz="6" w:space="0" w:color="000000"/>
            </w:tcBorders>
          </w:tcPr>
          <w:p w:rsidR="002844EE" w:rsidRDefault="00C23654">
            <w:pPr>
              <w:jc w:val="both"/>
            </w:pPr>
            <w:r>
              <w:t>Tüm birimlerde Maaş, Giyim Yardımı, Doğum Yardımı, Ölüm Yardımı, ek ders, fazla çalışma gibi mali haklarının ödenmesi ve aylık primlerin Sosyal Güvenlik Kurumuna bildirilmesi işlemlerini yasal düzenlemeler ve belirlenen standartlara uygun olarak gerçekleştirilmek. </w:t>
            </w:r>
          </w:p>
          <w:p w:rsidR="002844EE" w:rsidRDefault="002844EE"/>
        </w:tc>
      </w:tr>
      <w:tr w:rsidR="002844EE">
        <w:trPr>
          <w:trHeight w:val="446"/>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844EE" w:rsidRDefault="00C23654">
            <w:pPr>
              <w:tabs>
                <w:tab w:val="left" w:pos="5610"/>
              </w:tabs>
              <w:rPr>
                <w:sz w:val="28"/>
              </w:rPr>
            </w:pPr>
            <w:r>
              <w:rPr>
                <w:b/>
              </w:rPr>
              <w:t>Görev ve Sorumluluklar</w:t>
            </w:r>
          </w:p>
        </w:tc>
      </w:tr>
      <w:tr w:rsidR="002844EE">
        <w:trPr>
          <w:trHeight w:val="753"/>
        </w:trPr>
        <w:tc>
          <w:tcPr>
            <w:tcW w:w="9133" w:type="dxa"/>
            <w:tcBorders>
              <w:top w:val="single" w:sz="6" w:space="0" w:color="000000"/>
              <w:left w:val="single" w:sz="6" w:space="0" w:color="000000"/>
              <w:bottom w:val="single" w:sz="6" w:space="0" w:color="000000"/>
              <w:right w:val="single" w:sz="6" w:space="0" w:color="000000"/>
            </w:tcBorders>
          </w:tcPr>
          <w:p w:rsidR="00FD0D1B" w:rsidRPr="00B733F5" w:rsidRDefault="00FD0D1B" w:rsidP="00B733F5">
            <w:pPr>
              <w:jc w:val="both"/>
              <w:rPr>
                <w:rFonts w:asciiTheme="minorHAnsi" w:hAnsiTheme="minorHAnsi" w:cstheme="minorHAnsi"/>
                <w:b/>
                <w:color w:val="FF0000"/>
                <w:szCs w:val="22"/>
              </w:rPr>
            </w:pPr>
            <w:r w:rsidRPr="00062545">
              <w:rPr>
                <w:rFonts w:asciiTheme="minorHAnsi" w:hAnsiTheme="minorHAnsi" w:cstheme="minorHAnsi"/>
                <w:b/>
                <w:color w:val="FF0000"/>
                <w:szCs w:val="22"/>
              </w:rPr>
              <w:t>Genel Görev ve Sorumluluklar</w:t>
            </w:r>
          </w:p>
          <w:p w:rsidR="002844EE" w:rsidRDefault="00C23654">
            <w:pPr>
              <w:numPr>
                <w:ilvl w:val="0"/>
                <w:numId w:val="2"/>
              </w:numPr>
              <w:jc w:val="both"/>
            </w:pPr>
            <w:r>
              <w:t>Personellerinin maaş, ek ders, yolluklar ve diğer özlük haklarına ilişkin alacaklarının hazırlanıp, gerçekleştirm</w:t>
            </w:r>
            <w:r w:rsidR="00FD0D1B">
              <w:t>e görevlisinin kontrolüne sunar.</w:t>
            </w:r>
          </w:p>
          <w:p w:rsidR="002844EE" w:rsidRDefault="00C23654">
            <w:pPr>
              <w:numPr>
                <w:ilvl w:val="0"/>
                <w:numId w:val="2"/>
              </w:numPr>
              <w:jc w:val="both"/>
            </w:pPr>
            <w:r>
              <w:t xml:space="preserve">Giderleri mevzuatına uygun </w:t>
            </w:r>
            <w:r w:rsidR="00FD0D1B">
              <w:t>olarak tahakkuk eder.</w:t>
            </w:r>
          </w:p>
          <w:p w:rsidR="002844EE" w:rsidRDefault="00C23654">
            <w:pPr>
              <w:numPr>
                <w:ilvl w:val="0"/>
                <w:numId w:val="2"/>
              </w:numPr>
              <w:jc w:val="both"/>
            </w:pPr>
            <w:r>
              <w:t>Ödenekler</w:t>
            </w:r>
            <w:r w:rsidR="00FD0D1B">
              <w:t>i zamanında ve yerinde kullanılmasını sağlar.</w:t>
            </w:r>
          </w:p>
          <w:p w:rsidR="00877AED" w:rsidRDefault="00877AED">
            <w:pPr>
              <w:numPr>
                <w:ilvl w:val="0"/>
                <w:numId w:val="2"/>
              </w:numPr>
              <w:jc w:val="both"/>
            </w:pPr>
            <w:r>
              <w:t>Bütçeyi takip ederek gerektiğinde, revize, aktarma veya yedek bütçe taleplerini Strateji Geliştirme Daire Başkanlığına bildirerek sonucuna göre işlem yapar.</w:t>
            </w:r>
          </w:p>
          <w:p w:rsidR="002844EE" w:rsidRDefault="00C23654">
            <w:pPr>
              <w:numPr>
                <w:ilvl w:val="0"/>
                <w:numId w:val="2"/>
              </w:numPr>
              <w:jc w:val="both"/>
            </w:pPr>
            <w:r>
              <w:t>Gideri gerçek gereksinme karşılığı yapmak ve programlanmış hizm</w:t>
            </w:r>
            <w:r w:rsidR="00FD0D1B">
              <w:t>etleri zamanında yerine getirir.</w:t>
            </w:r>
          </w:p>
          <w:p w:rsidR="002844EE" w:rsidRDefault="00C23654">
            <w:pPr>
              <w:numPr>
                <w:ilvl w:val="0"/>
                <w:numId w:val="2"/>
              </w:numPr>
              <w:jc w:val="both"/>
            </w:pPr>
            <w:r>
              <w:t xml:space="preserve">Ders saatli öğretim elemanlarının aylık ders </w:t>
            </w:r>
            <w:r w:rsidR="00FD0D1B">
              <w:t>ücretlerini hazırlayıp bildirir</w:t>
            </w:r>
            <w:r>
              <w:t>, ders yükü for</w:t>
            </w:r>
            <w:r w:rsidR="00FD0D1B">
              <w:t>mlarını hazırlar.</w:t>
            </w:r>
          </w:p>
          <w:p w:rsidR="002844EE" w:rsidRDefault="00C23654">
            <w:pPr>
              <w:numPr>
                <w:ilvl w:val="0"/>
                <w:numId w:val="2"/>
              </w:numPr>
              <w:jc w:val="both"/>
            </w:pPr>
            <w:r>
              <w:t>Personel Daire Başkanlığından gelen terfi durumlarını sis</w:t>
            </w:r>
            <w:r w:rsidR="00FD0D1B">
              <w:t>teme aktararak takibini yapar.</w:t>
            </w:r>
          </w:p>
          <w:p w:rsidR="002844EE" w:rsidRDefault="00C23654">
            <w:pPr>
              <w:numPr>
                <w:ilvl w:val="0"/>
                <w:numId w:val="2"/>
              </w:numPr>
              <w:jc w:val="both"/>
            </w:pPr>
            <w:r>
              <w:t>Öğrenci staj işlemleri ile ilgili SGK bildirimlerini yap</w:t>
            </w:r>
            <w:r w:rsidR="00FD0D1B">
              <w:t xml:space="preserve">ıp, </w:t>
            </w:r>
            <w:r>
              <w:t>Rektörlüğe bildir</w:t>
            </w:r>
            <w:r w:rsidR="00FD0D1B">
              <w:t>ir.</w:t>
            </w:r>
          </w:p>
          <w:p w:rsidR="002844EE" w:rsidRDefault="00C23654">
            <w:pPr>
              <w:numPr>
                <w:ilvl w:val="0"/>
                <w:numId w:val="2"/>
              </w:numPr>
              <w:jc w:val="both"/>
            </w:pPr>
            <w:r>
              <w:t>Maaş ödemeleri sonrasında Emekli Keseneklerini yasal süresi içerisinde Strateji Geliştirme Daire Başkanlığına bildir</w:t>
            </w:r>
            <w:r w:rsidR="00FD0D1B">
              <w:t>ir.</w:t>
            </w:r>
          </w:p>
          <w:p w:rsidR="00877AED" w:rsidRDefault="00877AED">
            <w:pPr>
              <w:numPr>
                <w:ilvl w:val="0"/>
                <w:numId w:val="2"/>
              </w:numPr>
              <w:jc w:val="both"/>
            </w:pPr>
            <w:r>
              <w:t>Ocak ve Temmuz aylarında değişen memur maaş katsayısı doğrultusunda maaş avans ve farklarını yapar.</w:t>
            </w:r>
          </w:p>
          <w:p w:rsidR="00877AED" w:rsidRDefault="00877AED">
            <w:pPr>
              <w:numPr>
                <w:ilvl w:val="0"/>
                <w:numId w:val="2"/>
              </w:numPr>
              <w:jc w:val="both"/>
            </w:pPr>
            <w:r>
              <w:t>Ay sonunda Öğretim Elemanlarının vermiş olduğu derslerin ek ders beyanlarını imzaya hazırlar ve ilgili kişiye imzaya sunar.</w:t>
            </w:r>
          </w:p>
          <w:p w:rsidR="002844EE" w:rsidRDefault="00877AED" w:rsidP="002E717A">
            <w:pPr>
              <w:numPr>
                <w:ilvl w:val="0"/>
                <w:numId w:val="2"/>
              </w:numPr>
              <w:jc w:val="both"/>
            </w:pPr>
            <w:r>
              <w:t>Beyanlar ile Ders programlarının ve ders yüklerinin kontrolünü yapmak, raporlu olanların raporlarına göre beyanlarını düzenler.</w:t>
            </w:r>
          </w:p>
          <w:p w:rsidR="002E717A" w:rsidRDefault="002E717A">
            <w:pPr>
              <w:numPr>
                <w:ilvl w:val="0"/>
                <w:numId w:val="2"/>
              </w:numPr>
              <w:jc w:val="both"/>
            </w:pPr>
            <w:r>
              <w:t>Göreve başlayan personele ait işe giriş bildirgesi, ayrılanlara ayrılış bildirgesi düzenler.</w:t>
            </w:r>
          </w:p>
          <w:p w:rsidR="002E717A" w:rsidRDefault="002E717A">
            <w:pPr>
              <w:numPr>
                <w:ilvl w:val="0"/>
                <w:numId w:val="2"/>
              </w:numPr>
              <w:jc w:val="both"/>
            </w:pPr>
            <w:r>
              <w:t>Kurumdan ayrılıp nakil gidenlere maaş nakil formu düzenler.</w:t>
            </w:r>
          </w:p>
          <w:p w:rsidR="00877AED" w:rsidRDefault="00877AED">
            <w:pPr>
              <w:numPr>
                <w:ilvl w:val="0"/>
                <w:numId w:val="2"/>
              </w:numPr>
              <w:jc w:val="both"/>
            </w:pPr>
            <w:r>
              <w:t>Kamu Personeli Dil Sınavı Sonuç Belgelerini sunan personelin belgelerini maaşa işlemek, her yıl belirli dönemlerde Yabancı Dil Tazminatı alan personelin durumlarını kontrol ederek gerekli düzeltmeyi yapar.</w:t>
            </w:r>
          </w:p>
          <w:p w:rsidR="002844EE" w:rsidRDefault="00877AED">
            <w:pPr>
              <w:numPr>
                <w:ilvl w:val="0"/>
                <w:numId w:val="2"/>
              </w:numPr>
              <w:jc w:val="both"/>
            </w:pPr>
            <w:r>
              <w:t>Fazla mesai ücretlerini ve personel giysi yardımı</w:t>
            </w:r>
            <w:r w:rsidR="00C23654">
              <w:t xml:space="preserve"> ödeme evraklarını hazırla</w:t>
            </w:r>
            <w:r w:rsidR="00FD0D1B">
              <w:t>r.</w:t>
            </w:r>
          </w:p>
          <w:p w:rsidR="002844EE" w:rsidRDefault="00C23654">
            <w:pPr>
              <w:numPr>
                <w:ilvl w:val="0"/>
                <w:numId w:val="2"/>
              </w:numPr>
              <w:jc w:val="both"/>
            </w:pPr>
            <w:r>
              <w:t>Kendi alanı ile ilgili yazışmaları yap</w:t>
            </w:r>
            <w:r w:rsidR="00FD0D1B">
              <w:t>ar.</w:t>
            </w:r>
          </w:p>
          <w:p w:rsidR="002844EE" w:rsidRDefault="00877AED">
            <w:pPr>
              <w:numPr>
                <w:ilvl w:val="0"/>
                <w:numId w:val="2"/>
              </w:numPr>
              <w:jc w:val="both"/>
            </w:pPr>
            <w:r>
              <w:t xml:space="preserve">Aile bildirimi </w:t>
            </w:r>
            <w:r w:rsidR="00C23654">
              <w:t>belgelerinin takibini yaparak güncellenmesini sağla</w:t>
            </w:r>
            <w:r w:rsidR="00FD0D1B">
              <w:t>r.</w:t>
            </w:r>
          </w:p>
          <w:p w:rsidR="00FD0D1B" w:rsidRDefault="00FD0D1B">
            <w:pPr>
              <w:numPr>
                <w:ilvl w:val="0"/>
                <w:numId w:val="2"/>
              </w:numPr>
              <w:jc w:val="both"/>
            </w:pPr>
            <w:r>
              <w:t>Akademik ve idari personelin fazla ve yersiz ödemelere ait kişi borcu borç onayı belgelerini düzenler.</w:t>
            </w:r>
          </w:p>
          <w:p w:rsidR="00FD0D1B" w:rsidRDefault="00FD0D1B">
            <w:pPr>
              <w:numPr>
                <w:ilvl w:val="0"/>
                <w:numId w:val="2"/>
              </w:numPr>
              <w:jc w:val="both"/>
            </w:pPr>
            <w:r>
              <w:t>İstifa edenlerin borçlandırılması ve borçlarının tahsil edilmesini sağlar.</w:t>
            </w:r>
          </w:p>
          <w:p w:rsidR="005445A1" w:rsidRDefault="00FD0D1B" w:rsidP="005445A1">
            <w:pPr>
              <w:numPr>
                <w:ilvl w:val="0"/>
                <w:numId w:val="2"/>
              </w:numPr>
              <w:jc w:val="both"/>
            </w:pPr>
            <w:r>
              <w:t xml:space="preserve">Açıktan atanan, nakil gelen ve ilk defa açıktan atanan personelin </w:t>
            </w:r>
            <w:proofErr w:type="spellStart"/>
            <w:r>
              <w:t>kıst</w:t>
            </w:r>
            <w:proofErr w:type="spellEnd"/>
            <w:r>
              <w:t xml:space="preserve"> maaşlarını hazırla</w:t>
            </w:r>
            <w:r w:rsidR="005445A1">
              <w:t>r.</w:t>
            </w:r>
          </w:p>
          <w:p w:rsidR="00FD0D1B" w:rsidRDefault="00C23654" w:rsidP="00B733F5">
            <w:pPr>
              <w:numPr>
                <w:ilvl w:val="0"/>
                <w:numId w:val="2"/>
              </w:numPr>
              <w:jc w:val="both"/>
            </w:pPr>
            <w:r>
              <w:t>Üst Yönetici tarafından verilen diğer görevleri yap</w:t>
            </w:r>
            <w:r w:rsidR="00FD0D1B">
              <w:t>ar.</w:t>
            </w:r>
          </w:p>
          <w:p w:rsidR="00FD0D1B" w:rsidRDefault="00FD0D1B" w:rsidP="00B733F5">
            <w:pPr>
              <w:jc w:val="both"/>
              <w:rPr>
                <w:rFonts w:asciiTheme="minorHAnsi" w:hAnsiTheme="minorHAnsi" w:cstheme="minorHAnsi"/>
                <w:b/>
                <w:color w:val="FF0000"/>
                <w:szCs w:val="22"/>
              </w:rPr>
            </w:pPr>
            <w:bookmarkStart w:id="0" w:name="_GoBack"/>
            <w:bookmarkEnd w:id="0"/>
            <w:r w:rsidRPr="00062545">
              <w:rPr>
                <w:rFonts w:asciiTheme="minorHAnsi" w:hAnsiTheme="minorHAnsi" w:cstheme="minorHAnsi"/>
                <w:b/>
                <w:color w:val="FF0000"/>
                <w:szCs w:val="22"/>
              </w:rPr>
              <w:t>Birime Özel Görev ve Sorumluluklar</w:t>
            </w:r>
          </w:p>
          <w:p w:rsidR="00FD0D1B" w:rsidRDefault="00FD0D1B" w:rsidP="00FD0D1B">
            <w:pPr>
              <w:ind w:left="720"/>
              <w:jc w:val="both"/>
            </w:pPr>
          </w:p>
          <w:p w:rsidR="002844EE" w:rsidRDefault="002844EE"/>
          <w:p w:rsidR="002844EE" w:rsidRDefault="002844EE"/>
        </w:tc>
      </w:tr>
      <w:tr w:rsidR="002844EE">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844EE" w:rsidRDefault="00C23654">
            <w:pPr>
              <w:rPr>
                <w:sz w:val="28"/>
              </w:rPr>
            </w:pPr>
            <w:r>
              <w:rPr>
                <w:b/>
              </w:rPr>
              <w:lastRenderedPageBreak/>
              <w:t>Yetkiler</w:t>
            </w:r>
          </w:p>
        </w:tc>
      </w:tr>
      <w:tr w:rsidR="002844EE">
        <w:trPr>
          <w:trHeight w:val="753"/>
        </w:trPr>
        <w:tc>
          <w:tcPr>
            <w:tcW w:w="9133" w:type="dxa"/>
            <w:tcBorders>
              <w:top w:val="single" w:sz="6" w:space="0" w:color="000000"/>
              <w:left w:val="single" w:sz="6" w:space="0" w:color="000000"/>
              <w:bottom w:val="single" w:sz="6" w:space="0" w:color="000000"/>
              <w:right w:val="single" w:sz="6" w:space="0" w:color="000000"/>
            </w:tcBorders>
          </w:tcPr>
          <w:p w:rsidR="002844EE" w:rsidRDefault="002844EE"/>
          <w:p w:rsidR="002844EE" w:rsidRDefault="002844EE"/>
          <w:p w:rsidR="002844EE" w:rsidRDefault="002844EE"/>
          <w:p w:rsidR="002844EE" w:rsidRDefault="002844EE"/>
          <w:p w:rsidR="002844EE" w:rsidRDefault="002844EE"/>
        </w:tc>
      </w:tr>
      <w:tr w:rsidR="002844EE">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844EE" w:rsidRDefault="00C23654">
            <w:pPr>
              <w:rPr>
                <w:sz w:val="28"/>
              </w:rPr>
            </w:pPr>
            <w:r>
              <w:rPr>
                <w:b/>
              </w:rPr>
              <w:t>İlgili Mevzuat</w:t>
            </w:r>
          </w:p>
        </w:tc>
      </w:tr>
      <w:tr w:rsidR="002844EE">
        <w:trPr>
          <w:trHeight w:val="894"/>
        </w:trPr>
        <w:tc>
          <w:tcPr>
            <w:tcW w:w="9133" w:type="dxa"/>
            <w:tcBorders>
              <w:top w:val="single" w:sz="6" w:space="0" w:color="000000"/>
              <w:left w:val="single" w:sz="6" w:space="0" w:color="000000"/>
              <w:bottom w:val="single" w:sz="6" w:space="0" w:color="000000"/>
              <w:right w:val="single" w:sz="6" w:space="0" w:color="000000"/>
            </w:tcBorders>
          </w:tcPr>
          <w:p w:rsidR="002844EE" w:rsidRDefault="002844EE"/>
          <w:p w:rsidR="002844EE" w:rsidRDefault="00C23654">
            <w:pPr>
              <w:numPr>
                <w:ilvl w:val="0"/>
                <w:numId w:val="3"/>
              </w:numPr>
              <w:jc w:val="both"/>
            </w:pPr>
            <w:r>
              <w:t>657 Sayılı Devlet Memurları Kanunu</w:t>
            </w:r>
          </w:p>
          <w:p w:rsidR="002844EE" w:rsidRDefault="00C23654">
            <w:pPr>
              <w:numPr>
                <w:ilvl w:val="0"/>
                <w:numId w:val="3"/>
              </w:numPr>
              <w:jc w:val="both"/>
            </w:pPr>
            <w:r>
              <w:t>375 Sayılı Kanun Hükmünde Kararname</w:t>
            </w:r>
          </w:p>
          <w:p w:rsidR="002844EE" w:rsidRDefault="00C23654">
            <w:pPr>
              <w:numPr>
                <w:ilvl w:val="0"/>
                <w:numId w:val="3"/>
              </w:numPr>
              <w:jc w:val="both"/>
            </w:pPr>
            <w:r>
              <w:t>Devlet Memurlarına Ödenecek Zam ve Tazminatlara İlişkin Bakanlar Kurulu Kararı</w:t>
            </w:r>
          </w:p>
          <w:p w:rsidR="002844EE" w:rsidRDefault="00C23654">
            <w:pPr>
              <w:numPr>
                <w:ilvl w:val="0"/>
                <w:numId w:val="3"/>
              </w:numPr>
              <w:jc w:val="both"/>
            </w:pPr>
            <w:r>
              <w:t>5510 Sayılı Sosyal Sigortalar ve Genel Sağlık Sigortası Kanunun</w:t>
            </w:r>
          </w:p>
          <w:p w:rsidR="002844EE" w:rsidRDefault="00C23654">
            <w:pPr>
              <w:numPr>
                <w:ilvl w:val="0"/>
                <w:numId w:val="3"/>
              </w:numPr>
              <w:jc w:val="both"/>
            </w:pPr>
            <w:r>
              <w:t>2914 Sayılı Yükseköğretim Personel Kanunu</w:t>
            </w:r>
          </w:p>
          <w:p w:rsidR="002844EE" w:rsidRDefault="00C23654">
            <w:pPr>
              <w:numPr>
                <w:ilvl w:val="0"/>
                <w:numId w:val="3"/>
              </w:numPr>
              <w:jc w:val="both"/>
            </w:pPr>
            <w:r>
              <w:t>2547 Sayılı Yükseköğretim Kanunu</w:t>
            </w:r>
          </w:p>
          <w:p w:rsidR="002844EE" w:rsidRDefault="00C23654">
            <w:pPr>
              <w:numPr>
                <w:ilvl w:val="0"/>
                <w:numId w:val="3"/>
              </w:numPr>
              <w:jc w:val="both"/>
            </w:pPr>
            <w:r>
              <w:t>5434 Sayılı Emekli Sandığı Kanunu</w:t>
            </w:r>
          </w:p>
          <w:p w:rsidR="002844EE" w:rsidRDefault="00C23654">
            <w:pPr>
              <w:numPr>
                <w:ilvl w:val="0"/>
                <w:numId w:val="3"/>
              </w:numPr>
              <w:jc w:val="both"/>
            </w:pPr>
            <w:r>
              <w:t>190 Sayılı Genel Kadro ve Usulü Hakkında Kanun Hükmünde Kararname</w:t>
            </w:r>
          </w:p>
          <w:p w:rsidR="002844EE" w:rsidRDefault="002844EE"/>
          <w:p w:rsidR="002844EE" w:rsidRDefault="002844EE"/>
          <w:p w:rsidR="002844EE" w:rsidRDefault="002844EE"/>
        </w:tc>
      </w:tr>
      <w:tr w:rsidR="002844EE">
        <w:tc>
          <w:tcPr>
            <w:tcW w:w="9133" w:type="dxa"/>
            <w:tcBorders>
              <w:top w:val="single" w:sz="6" w:space="0" w:color="000000"/>
              <w:left w:val="single" w:sz="6" w:space="0" w:color="000000"/>
              <w:bottom w:val="single" w:sz="6" w:space="0" w:color="000000"/>
              <w:right w:val="single" w:sz="6" w:space="0" w:color="000000"/>
            </w:tcBorders>
            <w:shd w:val="clear" w:color="auto" w:fill="BCD7ED"/>
          </w:tcPr>
          <w:p w:rsidR="002844EE" w:rsidRDefault="00C23654">
            <w:pPr>
              <w:rPr>
                <w:sz w:val="28"/>
              </w:rPr>
            </w:pPr>
            <w:r>
              <w:rPr>
                <w:b/>
              </w:rPr>
              <w:t>B- ATANACAKLARDA ARANACAK NİTELİKLER</w:t>
            </w:r>
          </w:p>
        </w:tc>
      </w:tr>
      <w:tr w:rsidR="002844EE">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844EE" w:rsidRDefault="00C23654">
            <w:pPr>
              <w:rPr>
                <w:sz w:val="28"/>
              </w:rPr>
            </w:pPr>
            <w:r>
              <w:rPr>
                <w:b/>
              </w:rPr>
              <w:t>Gerekli Öğrenim Düzeyi Ve Bölümü</w:t>
            </w:r>
          </w:p>
        </w:tc>
      </w:tr>
      <w:tr w:rsidR="002844EE">
        <w:trPr>
          <w:trHeight w:val="398"/>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844EE" w:rsidRDefault="002844EE"/>
        </w:tc>
      </w:tr>
      <w:tr w:rsidR="002844EE">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844EE" w:rsidRDefault="00C23654">
            <w:pPr>
              <w:rPr>
                <w:sz w:val="28"/>
              </w:rPr>
            </w:pPr>
            <w:r>
              <w:rPr>
                <w:b/>
              </w:rPr>
              <w:t>Gerekli Mesleki Eğitim, Sertifikalar ve Diğer Eğitimler</w:t>
            </w:r>
          </w:p>
        </w:tc>
      </w:tr>
      <w:tr w:rsidR="002844EE">
        <w:trPr>
          <w:trHeight w:val="631"/>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844EE" w:rsidRDefault="002844EE"/>
          <w:p w:rsidR="002844EE" w:rsidRDefault="002844EE"/>
          <w:p w:rsidR="002844EE" w:rsidRDefault="002844EE"/>
          <w:p w:rsidR="002844EE" w:rsidRDefault="002844EE"/>
        </w:tc>
      </w:tr>
      <w:tr w:rsidR="002844EE">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844EE" w:rsidRDefault="00C23654">
            <w:pPr>
              <w:rPr>
                <w:sz w:val="28"/>
              </w:rPr>
            </w:pPr>
            <w:r>
              <w:rPr>
                <w:b/>
              </w:rPr>
              <w:t>Gerekli Yabancı Dil Bilgisi ve Düzeyi</w:t>
            </w:r>
          </w:p>
        </w:tc>
      </w:tr>
      <w:tr w:rsidR="002844EE">
        <w:trPr>
          <w:trHeight w:val="354"/>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844EE" w:rsidRDefault="002844EE"/>
          <w:p w:rsidR="002844EE" w:rsidRDefault="002844EE"/>
          <w:p w:rsidR="002844EE" w:rsidRDefault="002844EE"/>
          <w:p w:rsidR="002844EE" w:rsidRDefault="002844EE"/>
          <w:p w:rsidR="002844EE" w:rsidRDefault="002844EE"/>
        </w:tc>
      </w:tr>
      <w:tr w:rsidR="002844EE">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844EE" w:rsidRDefault="00C23654">
            <w:pPr>
              <w:rPr>
                <w:sz w:val="28"/>
              </w:rPr>
            </w:pPr>
            <w:r>
              <w:rPr>
                <w:b/>
              </w:rPr>
              <w:t>Gerekli Hizmet Süresi</w:t>
            </w:r>
          </w:p>
        </w:tc>
      </w:tr>
      <w:tr w:rsidR="002844EE">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844EE" w:rsidRDefault="002844EE"/>
          <w:p w:rsidR="002844EE" w:rsidRDefault="002844EE"/>
          <w:p w:rsidR="002844EE" w:rsidRDefault="002844EE"/>
          <w:p w:rsidR="002844EE" w:rsidRDefault="002844EE"/>
          <w:p w:rsidR="002844EE" w:rsidRDefault="002844EE"/>
        </w:tc>
      </w:tr>
      <w:tr w:rsidR="002844EE">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844EE" w:rsidRDefault="00C23654">
            <w:pPr>
              <w:rPr>
                <w:b/>
              </w:rPr>
            </w:pPr>
            <w:r>
              <w:rPr>
                <w:b/>
              </w:rPr>
              <w:t>Yetkinlikler</w:t>
            </w:r>
          </w:p>
        </w:tc>
      </w:tr>
      <w:tr w:rsidR="002844EE">
        <w:trPr>
          <w:trHeight w:val="677"/>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844EE" w:rsidRDefault="00C23654">
            <w:pPr>
              <w:numPr>
                <w:ilvl w:val="0"/>
                <w:numId w:val="4"/>
              </w:numPr>
            </w:pPr>
            <w:r>
              <w:lastRenderedPageBreak/>
              <w:t>657 Sayılı Devlet Memurları Kanununda belirtilen niteliklere sahip olmak</w:t>
            </w:r>
          </w:p>
          <w:p w:rsidR="002844EE" w:rsidRDefault="00C23654">
            <w:pPr>
              <w:numPr>
                <w:ilvl w:val="0"/>
                <w:numId w:val="4"/>
              </w:numPr>
            </w:pPr>
            <w:r>
              <w:t xml:space="preserve">2547 Sayılı Yüksek Öğretim Kanununa </w:t>
            </w:r>
            <w:proofErr w:type="gramStart"/>
            <w:r>
              <w:t>hakim</w:t>
            </w:r>
            <w:proofErr w:type="gramEnd"/>
            <w:r>
              <w:t xml:space="preserve"> olmak</w:t>
            </w:r>
          </w:p>
          <w:p w:rsidR="002844EE" w:rsidRDefault="002844EE"/>
        </w:tc>
      </w:tr>
    </w:tbl>
    <w:p w:rsidR="002844EE" w:rsidRDefault="002844EE"/>
    <w:tbl>
      <w:tblPr>
        <w:tblStyle w:val="TabloKlavuzu"/>
        <w:tblW w:w="5000" w:type="pct"/>
        <w:tblLook w:val="04A0" w:firstRow="1" w:lastRow="0" w:firstColumn="1" w:lastColumn="0" w:noHBand="0" w:noVBand="1"/>
      </w:tblPr>
      <w:tblGrid>
        <w:gridCol w:w="3064"/>
        <w:gridCol w:w="3074"/>
        <w:gridCol w:w="2925"/>
      </w:tblGrid>
      <w:tr w:rsidR="002844EE">
        <w:trPr>
          <w:trHeight w:val="648"/>
        </w:trPr>
        <w:tc>
          <w:tcPr>
            <w:tcW w:w="9133" w:type="dxa"/>
            <w:vAlign w:val="center"/>
          </w:tcPr>
          <w:p w:rsidR="002844EE" w:rsidRDefault="00C23654">
            <w:pPr>
              <w:pBdr>
                <w:top w:val="none" w:sz="0" w:space="0" w:color="auto"/>
                <w:left w:val="none" w:sz="0" w:space="0" w:color="auto"/>
                <w:bottom w:val="none" w:sz="0" w:space="0" w:color="auto"/>
                <w:right w:val="none" w:sz="0" w:space="0" w:color="auto"/>
              </w:pBdr>
              <w:jc w:val="center"/>
              <w:rPr>
                <w:b/>
              </w:rPr>
            </w:pPr>
            <w:r>
              <w:rPr>
                <w:b/>
              </w:rPr>
              <w:t>Hazırlayan</w:t>
            </w:r>
          </w:p>
        </w:tc>
        <w:tc>
          <w:tcPr>
            <w:tcW w:w="9133" w:type="dxa"/>
            <w:vAlign w:val="center"/>
          </w:tcPr>
          <w:p w:rsidR="002844EE" w:rsidRDefault="00C23654">
            <w:pPr>
              <w:pBdr>
                <w:top w:val="none" w:sz="0" w:space="0" w:color="auto"/>
                <w:left w:val="none" w:sz="0" w:space="0" w:color="auto"/>
                <w:bottom w:val="none" w:sz="0" w:space="0" w:color="auto"/>
                <w:right w:val="none" w:sz="0" w:space="0" w:color="auto"/>
              </w:pBdr>
              <w:jc w:val="center"/>
              <w:rPr>
                <w:b/>
              </w:rPr>
            </w:pPr>
            <w:r>
              <w:rPr>
                <w:b/>
              </w:rPr>
              <w:t>Onaylayan</w:t>
            </w:r>
          </w:p>
        </w:tc>
        <w:tc>
          <w:tcPr>
            <w:tcW w:w="9133" w:type="dxa"/>
            <w:vAlign w:val="center"/>
          </w:tcPr>
          <w:p w:rsidR="002844EE" w:rsidRDefault="00C23654">
            <w:pPr>
              <w:pBdr>
                <w:top w:val="none" w:sz="0" w:space="0" w:color="auto"/>
                <w:left w:val="none" w:sz="0" w:space="0" w:color="auto"/>
                <w:bottom w:val="none" w:sz="0" w:space="0" w:color="auto"/>
                <w:right w:val="none" w:sz="0" w:space="0" w:color="auto"/>
              </w:pBdr>
              <w:jc w:val="center"/>
              <w:rPr>
                <w:b/>
              </w:rPr>
            </w:pPr>
            <w:r>
              <w:rPr>
                <w:b/>
              </w:rPr>
              <w:t>Tebellüğ Eden</w:t>
            </w:r>
          </w:p>
        </w:tc>
      </w:tr>
      <w:tr w:rsidR="002844EE">
        <w:trPr>
          <w:trHeight w:val="828"/>
        </w:trPr>
        <w:tc>
          <w:tcPr>
            <w:tcW w:w="9133" w:type="dxa"/>
          </w:tcPr>
          <w:p w:rsidR="002844EE" w:rsidRDefault="002844EE"/>
        </w:tc>
        <w:tc>
          <w:tcPr>
            <w:tcW w:w="9133" w:type="dxa"/>
          </w:tcPr>
          <w:p w:rsidR="002844EE" w:rsidRDefault="002844EE"/>
        </w:tc>
        <w:tc>
          <w:tcPr>
            <w:tcW w:w="9133" w:type="dxa"/>
          </w:tcPr>
          <w:p w:rsidR="002844EE" w:rsidRDefault="002844EE"/>
        </w:tc>
      </w:tr>
      <w:tr w:rsidR="002844EE">
        <w:trPr>
          <w:trHeight w:val="414"/>
        </w:trPr>
        <w:tc>
          <w:tcPr>
            <w:tcW w:w="9133" w:type="dxa"/>
            <w:vAlign w:val="center"/>
          </w:tcPr>
          <w:p w:rsidR="002844EE" w:rsidRDefault="00C23654">
            <w:pPr>
              <w:pBdr>
                <w:top w:val="none" w:sz="0" w:space="0" w:color="auto"/>
                <w:left w:val="none" w:sz="0" w:space="0" w:color="auto"/>
                <w:bottom w:val="none" w:sz="0" w:space="0" w:color="auto"/>
                <w:right w:val="none" w:sz="0" w:space="0" w:color="auto"/>
              </w:pBdr>
              <w:rPr>
                <w:b/>
              </w:rPr>
            </w:pPr>
            <w:r>
              <w:rPr>
                <w:b/>
              </w:rPr>
              <w:t>Tarih:</w:t>
            </w:r>
          </w:p>
        </w:tc>
        <w:tc>
          <w:tcPr>
            <w:tcW w:w="9133" w:type="dxa"/>
            <w:vAlign w:val="center"/>
          </w:tcPr>
          <w:p w:rsidR="002844EE" w:rsidRDefault="00C23654">
            <w:pPr>
              <w:pBdr>
                <w:top w:val="none" w:sz="0" w:space="0" w:color="auto"/>
                <w:left w:val="none" w:sz="0" w:space="0" w:color="auto"/>
                <w:bottom w:val="none" w:sz="0" w:space="0" w:color="auto"/>
                <w:right w:val="none" w:sz="0" w:space="0" w:color="auto"/>
              </w:pBdr>
              <w:rPr>
                <w:b/>
              </w:rPr>
            </w:pPr>
            <w:r>
              <w:rPr>
                <w:b/>
              </w:rPr>
              <w:t>Tarih:</w:t>
            </w:r>
          </w:p>
        </w:tc>
        <w:tc>
          <w:tcPr>
            <w:tcW w:w="9133" w:type="dxa"/>
            <w:vAlign w:val="center"/>
          </w:tcPr>
          <w:p w:rsidR="002844EE" w:rsidRDefault="00C23654">
            <w:pPr>
              <w:pBdr>
                <w:top w:val="none" w:sz="0" w:space="0" w:color="auto"/>
                <w:left w:val="none" w:sz="0" w:space="0" w:color="auto"/>
                <w:bottom w:val="none" w:sz="0" w:space="0" w:color="auto"/>
                <w:right w:val="none" w:sz="0" w:space="0" w:color="auto"/>
              </w:pBdr>
              <w:rPr>
                <w:b/>
              </w:rPr>
            </w:pPr>
            <w:r>
              <w:rPr>
                <w:b/>
              </w:rPr>
              <w:t>Tarih:</w:t>
            </w:r>
          </w:p>
        </w:tc>
      </w:tr>
    </w:tbl>
    <w:p w:rsidR="002844EE" w:rsidRDefault="002844EE"/>
    <w:sectPr w:rsidR="002844EE">
      <w:headerReference w:type="default" r:id="rId7"/>
      <w:footerReference w:type="default" r:id="rId8"/>
      <w:pgSz w:w="11907" w:h="16839" w:code="9"/>
      <w:pgMar w:top="992" w:right="1417" w:bottom="1417" w:left="1417" w:header="42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636" w:rsidRDefault="007C5636">
      <w:pPr>
        <w:spacing w:after="0" w:line="240" w:lineRule="auto"/>
      </w:pPr>
      <w:r>
        <w:separator/>
      </w:r>
    </w:p>
  </w:endnote>
  <w:endnote w:type="continuationSeparator" w:id="0">
    <w:p w:rsidR="007C5636" w:rsidRDefault="007C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EE" w:rsidRDefault="00C23654">
    <w:pPr>
      <w:jc w:val="center"/>
    </w:pPr>
    <w:r>
      <w:fldChar w:fldCharType="begin"/>
    </w:r>
    <w:r>
      <w:instrText>NUMPAGES</w:instrText>
    </w:r>
    <w:r>
      <w:fldChar w:fldCharType="separate"/>
    </w:r>
    <w:r w:rsidR="00B733F5">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636" w:rsidRDefault="007C5636">
      <w:pPr>
        <w:spacing w:after="0" w:line="240" w:lineRule="auto"/>
      </w:pPr>
      <w:r>
        <w:separator/>
      </w:r>
    </w:p>
  </w:footnote>
  <w:footnote w:type="continuationSeparator" w:id="0">
    <w:p w:rsidR="007C5636" w:rsidRDefault="007C5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4EE" w:rsidRDefault="002844EE">
    <w:pPr>
      <w:pStyle w:val="stBilgi"/>
      <w:keepLines/>
      <w:ind w:left="7" w:right="143" w:hanging="7"/>
      <w:rPr>
        <w:b/>
        <w:noProof/>
      </w:rPr>
    </w:pPr>
  </w:p>
  <w:tbl>
    <w:tblPr>
      <w:tblStyle w:val="TabloKlavuzu"/>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67"/>
      <w:gridCol w:w="4578"/>
      <w:gridCol w:w="2112"/>
    </w:tblGrid>
    <w:tr w:rsidR="002844EE">
      <w:tc>
        <w:tcPr>
          <w:tcW w:w="9133" w:type="dxa"/>
          <w:gridSpan w:val="3"/>
          <w:tcBorders>
            <w:top w:val="single" w:sz="6" w:space="0" w:color="000000"/>
            <w:left w:val="single" w:sz="6" w:space="0" w:color="000000"/>
            <w:bottom w:val="single" w:sz="6" w:space="0" w:color="000000"/>
            <w:right w:val="single" w:sz="6" w:space="0" w:color="000000"/>
          </w:tcBorders>
          <w:vAlign w:val="center"/>
        </w:tcPr>
        <w:p w:rsidR="002844EE" w:rsidRDefault="00C23654">
          <w:pPr>
            <w:keepLines/>
            <w:jc w:val="center"/>
            <w:rPr>
              <w:b/>
              <w:noProof/>
              <w:lang w:eastAsia="tr-TR"/>
            </w:rPr>
          </w:pPr>
          <w:r>
            <w:rPr>
              <w:b/>
              <w:noProof/>
            </w:rPr>
            <w:t>PERSONEL GÖREV TANIM FORMU</w:t>
          </w:r>
        </w:p>
      </w:tc>
    </w:tr>
    <w:tr w:rsidR="002844EE">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2844EE" w:rsidRDefault="00C23654">
          <w:pPr>
            <w:keepLines/>
            <w:tabs>
              <w:tab w:val="center" w:pos="726"/>
              <w:tab w:val="left" w:pos="1125"/>
            </w:tabs>
            <w:rPr>
              <w:b/>
            </w:rPr>
          </w:pPr>
          <w:r>
            <w:rPr>
              <w:b/>
            </w:rPr>
            <w:t>BİRİM ADI</w:t>
          </w:r>
        </w:p>
      </w:tc>
      <w:tc>
        <w:tcPr>
          <w:tcW w:w="14693" w:type="dxa"/>
          <w:tcBorders>
            <w:top w:val="single" w:sz="6" w:space="0" w:color="000000"/>
            <w:left w:val="single" w:sz="6" w:space="0" w:color="000000"/>
            <w:bottom w:val="single" w:sz="6" w:space="0" w:color="000000"/>
            <w:right w:val="single" w:sz="6" w:space="0" w:color="000000"/>
          </w:tcBorders>
        </w:tcPr>
        <w:p w:rsidR="002844EE" w:rsidRDefault="00C23654">
          <w:pPr>
            <w:pStyle w:val="stBilgi"/>
            <w:keepLines/>
            <w:tabs>
              <w:tab w:val="clear" w:pos="7143"/>
              <w:tab w:val="clear" w:pos="14287"/>
            </w:tabs>
            <w:rPr>
              <w:b/>
            </w:rPr>
          </w:pPr>
          <w:r>
            <w:rPr>
              <w:b/>
            </w:rPr>
            <w:t>ÇUKUROVA ÜNİVERSİTESİ</w:t>
          </w:r>
        </w:p>
      </w:tc>
      <w:tc>
        <w:tcPr>
          <w:tcW w:w="4057" w:type="dxa"/>
          <w:vMerge w:val="restart"/>
          <w:tcBorders>
            <w:top w:val="single" w:sz="6" w:space="0" w:color="000000"/>
            <w:left w:val="single" w:sz="6" w:space="0" w:color="000000"/>
            <w:bottom w:val="single" w:sz="6" w:space="0" w:color="000000"/>
            <w:right w:val="single" w:sz="6" w:space="0" w:color="000000"/>
          </w:tcBorders>
          <w:vAlign w:val="center"/>
        </w:tcPr>
        <w:p w:rsidR="002844EE" w:rsidRDefault="00C23654">
          <w:pPr>
            <w:keepLines/>
            <w:jc w:val="center"/>
          </w:pPr>
          <w:r>
            <w:rPr>
              <w:noProof/>
              <w:lang w:eastAsia="tr-TR"/>
            </w:rPr>
            <w:drawing>
              <wp:inline distT="0" distB="0" distL="0" distR="0">
                <wp:extent cx="823595" cy="8235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23595" cy="823595"/>
                        </a:xfrm>
                        <a:prstGeom prst="rect">
                          <a:avLst/>
                        </a:prstGeom>
                        <a:noFill/>
                      </pic:spPr>
                    </pic:pic>
                  </a:graphicData>
                </a:graphic>
              </wp:inline>
            </w:drawing>
          </w:r>
        </w:p>
      </w:tc>
    </w:tr>
    <w:tr w:rsidR="002844EE">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2844EE" w:rsidRDefault="00C23654">
          <w:pPr>
            <w:keepLines/>
            <w:tabs>
              <w:tab w:val="center" w:pos="726"/>
            </w:tabs>
            <w:rPr>
              <w:b/>
            </w:rPr>
          </w:pPr>
          <w:r>
            <w:rPr>
              <w:b/>
            </w:rPr>
            <w:t>BAĞLI OLDUĞU BİRİM</w:t>
          </w:r>
        </w:p>
      </w:tc>
      <w:tc>
        <w:tcPr>
          <w:tcW w:w="14693" w:type="dxa"/>
          <w:tcBorders>
            <w:top w:val="single" w:sz="6" w:space="0" w:color="000000"/>
            <w:left w:val="single" w:sz="6" w:space="0" w:color="000000"/>
            <w:bottom w:val="single" w:sz="6" w:space="0" w:color="000000"/>
            <w:right w:val="single" w:sz="6" w:space="0" w:color="000000"/>
          </w:tcBorders>
        </w:tcPr>
        <w:p w:rsidR="002844EE" w:rsidRDefault="002844EE">
          <w:pPr>
            <w:pStyle w:val="stBilgi"/>
            <w:keepLines/>
            <w:tabs>
              <w:tab w:val="center" w:pos="726"/>
            </w:tabs>
            <w:rPr>
              <w:b/>
            </w:rPr>
          </w:pPr>
        </w:p>
      </w:tc>
      <w:tc>
        <w:tcPr>
          <w:tcW w:w="4057" w:type="dxa"/>
          <w:vMerge/>
        </w:tcPr>
        <w:p w:rsidR="002844EE" w:rsidRDefault="002844EE">
          <w:pPr>
            <w:keepLines/>
            <w:tabs>
              <w:tab w:val="center" w:pos="726"/>
            </w:tabs>
            <w:rPr>
              <w:b/>
            </w:rPr>
          </w:pPr>
        </w:p>
      </w:tc>
    </w:tr>
    <w:tr w:rsidR="002844EE">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2844EE" w:rsidRDefault="00C23654">
          <w:pPr>
            <w:keepLines/>
            <w:tabs>
              <w:tab w:val="center" w:pos="726"/>
            </w:tabs>
            <w:rPr>
              <w:b/>
            </w:rPr>
          </w:pPr>
          <w:r>
            <w:rPr>
              <w:b/>
            </w:rPr>
            <w:t>GÖREV UNVANI</w:t>
          </w:r>
        </w:p>
      </w:tc>
      <w:tc>
        <w:tcPr>
          <w:tcW w:w="14693" w:type="dxa"/>
          <w:tcBorders>
            <w:top w:val="single" w:sz="6" w:space="0" w:color="000000"/>
            <w:left w:val="single" w:sz="6" w:space="0" w:color="000000"/>
            <w:bottom w:val="single" w:sz="6" w:space="0" w:color="000000"/>
            <w:right w:val="single" w:sz="6" w:space="0" w:color="000000"/>
          </w:tcBorders>
        </w:tcPr>
        <w:p w:rsidR="002844EE" w:rsidRDefault="00C23654">
          <w:pPr>
            <w:keepLines/>
          </w:pPr>
          <w:r>
            <w:rPr>
              <w:b/>
            </w:rPr>
            <w:t>MAAŞ MUTEMEDİ</w:t>
          </w:r>
        </w:p>
      </w:tc>
      <w:tc>
        <w:tcPr>
          <w:tcW w:w="4057" w:type="dxa"/>
          <w:vMerge/>
        </w:tcPr>
        <w:p w:rsidR="002844EE" w:rsidRDefault="002844EE">
          <w:pPr>
            <w:keepLines/>
          </w:pPr>
        </w:p>
      </w:tc>
    </w:tr>
    <w:tr w:rsidR="002844EE">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2844EE" w:rsidRDefault="00C23654">
          <w:pPr>
            <w:keepLines/>
            <w:rPr>
              <w:b/>
            </w:rPr>
          </w:pPr>
          <w:r>
            <w:rPr>
              <w:b/>
            </w:rPr>
            <w:t>KADROSU</w:t>
          </w:r>
        </w:p>
      </w:tc>
      <w:tc>
        <w:tcPr>
          <w:tcW w:w="14693" w:type="dxa"/>
          <w:tcBorders>
            <w:top w:val="single" w:sz="6" w:space="0" w:color="000000"/>
            <w:left w:val="single" w:sz="6" w:space="0" w:color="000000"/>
            <w:bottom w:val="single" w:sz="6" w:space="0" w:color="000000"/>
            <w:right w:val="single" w:sz="6" w:space="0" w:color="000000"/>
          </w:tcBorders>
        </w:tcPr>
        <w:p w:rsidR="002844EE" w:rsidRDefault="002844EE">
          <w:pPr>
            <w:keepLines/>
            <w:rPr>
              <w:b/>
            </w:rPr>
          </w:pPr>
        </w:p>
      </w:tc>
      <w:tc>
        <w:tcPr>
          <w:tcW w:w="4057" w:type="dxa"/>
          <w:vMerge/>
        </w:tcPr>
        <w:p w:rsidR="002844EE" w:rsidRDefault="002844EE">
          <w:pPr>
            <w:keepLines/>
            <w:rPr>
              <w:b/>
            </w:rPr>
          </w:pPr>
        </w:p>
      </w:tc>
    </w:tr>
    <w:tr w:rsidR="002844EE">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2844EE" w:rsidRDefault="00C23654">
          <w:pPr>
            <w:keepLines/>
            <w:rPr>
              <w:b/>
            </w:rPr>
          </w:pPr>
          <w:r>
            <w:rPr>
              <w:b/>
            </w:rPr>
            <w:t>PERSONEL</w:t>
          </w:r>
        </w:p>
      </w:tc>
      <w:tc>
        <w:tcPr>
          <w:tcW w:w="14693" w:type="dxa"/>
          <w:tcBorders>
            <w:top w:val="single" w:sz="6" w:space="0" w:color="000000"/>
            <w:left w:val="single" w:sz="6" w:space="0" w:color="000000"/>
            <w:bottom w:val="single" w:sz="6" w:space="0" w:color="000000"/>
            <w:right w:val="single" w:sz="6" w:space="0" w:color="000000"/>
          </w:tcBorders>
        </w:tcPr>
        <w:p w:rsidR="002844EE" w:rsidRDefault="002844EE">
          <w:pPr>
            <w:keepLines/>
            <w:rPr>
              <w:b/>
            </w:rPr>
          </w:pPr>
        </w:p>
      </w:tc>
      <w:tc>
        <w:tcPr>
          <w:tcW w:w="4057" w:type="dxa"/>
          <w:vMerge/>
        </w:tcPr>
        <w:p w:rsidR="002844EE" w:rsidRDefault="002844EE">
          <w:pPr>
            <w:keepLines/>
            <w:rPr>
              <w:b/>
            </w:rPr>
          </w:pPr>
        </w:p>
      </w:tc>
    </w:tr>
    <w:tr w:rsidR="002844EE">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2844EE" w:rsidRDefault="00C23654">
          <w:pPr>
            <w:keepLines/>
          </w:pPr>
          <w:r>
            <w:rPr>
              <w:b/>
            </w:rPr>
            <w:t>YEDEK PERSONEL</w:t>
          </w:r>
        </w:p>
      </w:tc>
      <w:tc>
        <w:tcPr>
          <w:tcW w:w="14693" w:type="dxa"/>
          <w:tcBorders>
            <w:top w:val="single" w:sz="6" w:space="0" w:color="000000"/>
            <w:left w:val="single" w:sz="6" w:space="0" w:color="000000"/>
            <w:bottom w:val="single" w:sz="6" w:space="0" w:color="000000"/>
            <w:right w:val="single" w:sz="6" w:space="0" w:color="000000"/>
          </w:tcBorders>
        </w:tcPr>
        <w:p w:rsidR="002844EE" w:rsidRDefault="00C23654">
          <w:pPr>
            <w:keepLines/>
          </w:pPr>
          <w:r>
            <w:rPr>
              <w:b/>
            </w:rPr>
            <w:t xml:space="preserve"> </w:t>
          </w:r>
        </w:p>
      </w:tc>
      <w:tc>
        <w:tcPr>
          <w:tcW w:w="4057" w:type="dxa"/>
          <w:vMerge/>
        </w:tcPr>
        <w:p w:rsidR="002844EE" w:rsidRDefault="002844EE">
          <w:pPr>
            <w:keepLines/>
          </w:pPr>
        </w:p>
      </w:tc>
    </w:tr>
  </w:tbl>
  <w:p w:rsidR="002844EE" w:rsidRDefault="002844E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BCD"/>
    <w:multiLevelType w:val="multilevel"/>
    <w:tmpl w:val="2ACE81D0"/>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1" w15:restartNumberingAfterBreak="0">
    <w:nsid w:val="6BA3734E"/>
    <w:multiLevelType w:val="multilevel"/>
    <w:tmpl w:val="8F80A6C6"/>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2" w15:restartNumberingAfterBreak="0">
    <w:nsid w:val="73FE0386"/>
    <w:multiLevelType w:val="multilevel"/>
    <w:tmpl w:val="83221F84"/>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3" w15:restartNumberingAfterBreak="0">
    <w:nsid w:val="7AC84B9A"/>
    <w:multiLevelType w:val="multilevel"/>
    <w:tmpl w:val="7C16C2D8"/>
    <w:lvl w:ilvl="0">
      <w:start w:val="1"/>
      <w:numFmt w:val="bullet"/>
      <w:lvlText w:val=""/>
      <w:lvlJc w:val="left"/>
      <w:pPr>
        <w:ind w:left="720" w:hanging="358"/>
      </w:pPr>
      <w:rPr>
        <w:rFonts w:ascii="Symbol" w:hAnsi="Symbol"/>
      </w:rPr>
    </w:lvl>
    <w:lvl w:ilvl="1">
      <w:start w:val="1"/>
      <w:numFmt w:val="bullet"/>
      <w:lvlText w:val="o"/>
      <w:lvlJc w:val="left"/>
      <w:pPr>
        <w:ind w:left="1440" w:hanging="358"/>
      </w:pPr>
      <w:rPr>
        <w:rFonts w:ascii="Courier New" w:hAnsi="Courier New"/>
      </w:rPr>
    </w:lvl>
    <w:lvl w:ilvl="2">
      <w:start w:val="3"/>
      <w:numFmt w:val="bullet"/>
      <w:lvlText w:val="-"/>
      <w:lvlJc w:val="left"/>
      <w:pPr>
        <w:ind w:left="2160" w:hanging="358"/>
      </w:pPr>
      <w:rPr>
        <w:rFonts w:ascii="Arial" w:hAnsi="Arial"/>
      </w:rPr>
    </w:lvl>
    <w:lvl w:ilvl="3">
      <w:start w:val="1"/>
      <w:numFmt w:val="bullet"/>
      <w:lvlText w:val=""/>
      <w:lvlJc w:val="left"/>
      <w:pPr>
        <w:ind w:left="2880" w:hanging="358"/>
      </w:pPr>
      <w:rPr>
        <w:rFonts w:ascii="Symbol" w:hAnsi="Symbol"/>
      </w:rPr>
    </w:lvl>
    <w:lvl w:ilvl="4">
      <w:start w:val="1"/>
      <w:numFmt w:val="bullet"/>
      <w:lvlText w:val="o"/>
      <w:lvlJc w:val="left"/>
      <w:pPr>
        <w:ind w:left="3600" w:hanging="358"/>
      </w:pPr>
      <w:rPr>
        <w:rFonts w:ascii="Courier New" w:hAnsi="Courier New"/>
      </w:rPr>
    </w:lvl>
    <w:lvl w:ilvl="5">
      <w:start w:val="1"/>
      <w:numFmt w:val="bullet"/>
      <w:lvlText w:val=""/>
      <w:lvlJc w:val="left"/>
      <w:pPr>
        <w:ind w:left="4320" w:hanging="358"/>
      </w:pPr>
      <w:rPr>
        <w:rFonts w:ascii="Wingdings" w:hAnsi="Wingdings"/>
      </w:rPr>
    </w:lvl>
    <w:lvl w:ilvl="6">
      <w:start w:val="1"/>
      <w:numFmt w:val="bullet"/>
      <w:lvlText w:val=""/>
      <w:lvlJc w:val="left"/>
      <w:pPr>
        <w:ind w:left="5040" w:hanging="358"/>
      </w:pPr>
      <w:rPr>
        <w:rFonts w:ascii="Symbol" w:hAnsi="Symbol"/>
      </w:rPr>
    </w:lvl>
    <w:lvl w:ilvl="7">
      <w:start w:val="1"/>
      <w:numFmt w:val="bullet"/>
      <w:lvlText w:val="o"/>
      <w:lvlJc w:val="left"/>
      <w:pPr>
        <w:ind w:left="5760" w:hanging="358"/>
      </w:pPr>
      <w:rPr>
        <w:rFonts w:ascii="Courier New" w:hAnsi="Courier New"/>
      </w:rPr>
    </w:lvl>
    <w:lvl w:ilvl="8">
      <w:start w:val="1"/>
      <w:numFmt w:val="bullet"/>
      <w:lvlText w:val=""/>
      <w:lvlJc w:val="left"/>
      <w:pPr>
        <w:ind w:left="6480" w:hanging="358"/>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EE"/>
    <w:rsid w:val="00133DA4"/>
    <w:rsid w:val="002844EE"/>
    <w:rsid w:val="002E717A"/>
    <w:rsid w:val="005445A1"/>
    <w:rsid w:val="007C5636"/>
    <w:rsid w:val="00877AED"/>
    <w:rsid w:val="00AF3389"/>
    <w:rsid w:val="00B733F5"/>
    <w:rsid w:val="00C23654"/>
    <w:rsid w:val="00FD0D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39B0"/>
  <w15:docId w15:val="{DCEF984F-45DA-4AD0-83B7-97BE6663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tr-TR" w:eastAsia="en-US" w:bidi="ar-SA"/>
      </w:rPr>
    </w:rPrDefault>
    <w:pPrDefault>
      <w:pPr>
        <w:pBdr>
          <w:top w:val="nil"/>
          <w:left w:val="nil"/>
          <w:bottom w:val="nil"/>
          <w:right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keepLines/>
      <w:spacing w:before="480" w:after="0"/>
      <w:outlineLvl w:val="0"/>
    </w:pPr>
    <w:rPr>
      <w:b/>
      <w:sz w:val="48"/>
    </w:rPr>
  </w:style>
  <w:style w:type="paragraph" w:styleId="Balk2">
    <w:name w:val="heading 2"/>
    <w:basedOn w:val="Normal"/>
    <w:next w:val="Normal"/>
    <w:qFormat/>
    <w:pPr>
      <w:keepNext/>
      <w:keepLines/>
      <w:spacing w:before="200" w:after="0"/>
      <w:outlineLvl w:val="1"/>
    </w:pPr>
    <w:rPr>
      <w:b/>
      <w:sz w:val="40"/>
    </w:rPr>
  </w:style>
  <w:style w:type="paragraph" w:styleId="Balk3">
    <w:name w:val="heading 3"/>
    <w:basedOn w:val="Normal"/>
    <w:next w:val="Normal"/>
    <w:qFormat/>
    <w:pPr>
      <w:keepNext/>
      <w:keepLines/>
      <w:spacing w:before="200" w:after="0"/>
      <w:outlineLvl w:val="2"/>
    </w:pPr>
    <w:rPr>
      <w:b/>
      <w:i/>
      <w:sz w:val="36"/>
    </w:rPr>
  </w:style>
  <w:style w:type="paragraph" w:styleId="Balk4">
    <w:name w:val="heading 4"/>
    <w:basedOn w:val="Normal"/>
    <w:next w:val="Normal"/>
    <w:qFormat/>
    <w:pPr>
      <w:keepNext/>
      <w:keepLines/>
      <w:spacing w:before="200" w:after="0"/>
      <w:outlineLvl w:val="3"/>
    </w:pPr>
    <w:rPr>
      <w:color w:val="232323"/>
      <w:sz w:val="32"/>
    </w:rPr>
  </w:style>
  <w:style w:type="paragraph" w:styleId="Balk5">
    <w:name w:val="heading 5"/>
    <w:basedOn w:val="Normal"/>
    <w:next w:val="Normal"/>
    <w:qFormat/>
    <w:pPr>
      <w:keepNext/>
      <w:keepLines/>
      <w:spacing w:before="200" w:after="0"/>
      <w:outlineLvl w:val="4"/>
    </w:pPr>
    <w:rPr>
      <w:b/>
      <w:color w:val="444444"/>
      <w:sz w:val="28"/>
    </w:rPr>
  </w:style>
  <w:style w:type="paragraph" w:styleId="Balk6">
    <w:name w:val="heading 6"/>
    <w:basedOn w:val="Normal"/>
    <w:next w:val="Normal"/>
    <w:qFormat/>
    <w:pPr>
      <w:keepNext/>
      <w:keepLines/>
      <w:spacing w:before="200" w:after="0"/>
      <w:outlineLvl w:val="5"/>
    </w:pPr>
    <w:rPr>
      <w:i/>
      <w:color w:val="232323"/>
      <w:sz w:val="28"/>
    </w:rPr>
  </w:style>
  <w:style w:type="paragraph" w:styleId="Balk7">
    <w:name w:val="heading 7"/>
    <w:basedOn w:val="Normal"/>
    <w:next w:val="Normal"/>
    <w:qFormat/>
    <w:pPr>
      <w:keepNext/>
      <w:keepLines/>
      <w:spacing w:before="200" w:after="0"/>
      <w:outlineLvl w:val="6"/>
    </w:pPr>
    <w:rPr>
      <w:b/>
      <w:color w:val="606060"/>
      <w:sz w:val="24"/>
    </w:rPr>
  </w:style>
  <w:style w:type="paragraph" w:styleId="Balk8">
    <w:name w:val="heading 8"/>
    <w:basedOn w:val="Normal"/>
    <w:next w:val="Normal"/>
    <w:qFormat/>
    <w:pPr>
      <w:keepNext/>
      <w:keepLines/>
      <w:spacing w:before="200" w:after="0"/>
      <w:outlineLvl w:val="7"/>
    </w:pPr>
    <w:rPr>
      <w:color w:val="444444"/>
      <w:sz w:val="24"/>
    </w:rPr>
  </w:style>
  <w:style w:type="paragraph" w:styleId="Balk9">
    <w:name w:val="heading 9"/>
    <w:basedOn w:val="Normal"/>
    <w:next w:val="Normal"/>
    <w:qFormat/>
    <w:pPr>
      <w:keepNext/>
      <w:keepLines/>
      <w:spacing w:before="200" w:after="0"/>
      <w:outlineLvl w:val="8"/>
    </w:pPr>
    <w:rPr>
      <w:i/>
      <w:color w:val="444444"/>
      <w:sz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pPr>
      <w:spacing w:after="0" w:line="240" w:lineRule="auto"/>
    </w:pPr>
  </w:style>
  <w:style w:type="paragraph" w:styleId="KonuBal">
    <w:name w:val="Title"/>
    <w:basedOn w:val="Normal"/>
    <w:next w:val="Normal"/>
    <w:qFormat/>
    <w:pPr>
      <w:pBdr>
        <w:bottom w:val="single" w:sz="24" w:space="0" w:color="000000"/>
      </w:pBdr>
      <w:spacing w:before="300" w:after="80" w:line="240" w:lineRule="auto"/>
    </w:pPr>
    <w:rPr>
      <w:b/>
      <w:sz w:val="72"/>
    </w:rPr>
  </w:style>
  <w:style w:type="paragraph" w:styleId="Altyaz">
    <w:name w:val="Subtitle"/>
    <w:basedOn w:val="Normal"/>
    <w:next w:val="Normal"/>
    <w:qFormat/>
    <w:pPr>
      <w:spacing w:line="240" w:lineRule="auto"/>
    </w:pPr>
    <w:rPr>
      <w:i/>
      <w:color w:val="444444"/>
      <w:sz w:val="52"/>
    </w:rPr>
  </w:style>
  <w:style w:type="paragraph" w:styleId="Alnt">
    <w:name w:val="Quote"/>
    <w:basedOn w:val="Normal"/>
    <w:next w:val="Normal"/>
    <w:qFormat/>
    <w:pPr>
      <w:pBdr>
        <w:left w:val="single" w:sz="12" w:space="11" w:color="A6A6A6"/>
        <w:bottom w:val="single" w:sz="12" w:space="3" w:color="A6A6A6"/>
      </w:pBdr>
      <w:ind w:left="3402"/>
    </w:pPr>
    <w:rPr>
      <w:i/>
      <w:color w:val="373737"/>
      <w:sz w:val="18"/>
    </w:rPr>
  </w:style>
  <w:style w:type="paragraph" w:styleId="GlAlnt">
    <w:name w:val="Intense Quote"/>
    <w:basedOn w:val="Normal"/>
    <w:next w:val="Normal"/>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stBilgi">
    <w:name w:val="header"/>
    <w:basedOn w:val="Normal"/>
    <w:pPr>
      <w:tabs>
        <w:tab w:val="center" w:pos="7143"/>
        <w:tab w:val="right" w:pos="14287"/>
      </w:tabs>
      <w:spacing w:after="0" w:line="240" w:lineRule="auto"/>
    </w:pPr>
  </w:style>
  <w:style w:type="paragraph" w:styleId="AltBilgi">
    <w:name w:val="footer"/>
    <w:basedOn w:val="Normal"/>
    <w:pPr>
      <w:tabs>
        <w:tab w:val="center" w:pos="7143"/>
        <w:tab w:val="right" w:pos="14287"/>
      </w:tabs>
      <w:spacing w:after="0" w:line="240" w:lineRule="auto"/>
    </w:pPr>
  </w:style>
  <w:style w:type="paragraph" w:styleId="ListeParagraf">
    <w:name w:val="List Paragraph"/>
    <w:basedOn w:val="Normal"/>
    <w:qFormat/>
    <w:pPr>
      <w:ind w:left="720"/>
      <w:contextualSpacing/>
    </w:pPr>
  </w:style>
  <w:style w:type="paragraph" w:styleId="BalonMetni">
    <w:name w:val="Balloon Text"/>
    <w:basedOn w:val="Normal"/>
    <w:link w:val="BalonMetniChar"/>
    <w:semiHidden/>
    <w:pPr>
      <w:spacing w:after="0" w:line="240" w:lineRule="auto"/>
    </w:pPr>
    <w:rPr>
      <w:rFonts w:ascii="Tahoma" w:hAnsi="Tahoma"/>
      <w:sz w:val="16"/>
    </w:rPr>
  </w:style>
  <w:style w:type="character" w:styleId="SatrNumaras">
    <w:name w:val="line number"/>
    <w:basedOn w:val="VarsaylanParagrafYazTipi"/>
    <w:semiHidden/>
  </w:style>
  <w:style w:type="character" w:styleId="Kpr">
    <w:name w:val="Hyperlink"/>
    <w:rPr>
      <w:color w:val="0563C1"/>
      <w:u w:val="single"/>
    </w:rPr>
  </w:style>
  <w:style w:type="character" w:customStyle="1" w:styleId="BalonMetniChar">
    <w:name w:val="Balon Metni Char"/>
    <w:basedOn w:val="VarsaylanParagrafYazTipi"/>
    <w:link w:val="BalonMetni"/>
    <w:semiHidden/>
    <w:rPr>
      <w:rFonts w:ascii="Tahoma" w:hAnsi="Tahoma"/>
      <w:sz w:val="16"/>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Tablo"/>
    <w:pPr>
      <w:spacing w:after="0" w:line="240" w:lineRule="auto"/>
    </w:pPr>
    <w:tblPr>
      <w:tblStyleRowBandSize w:val="1"/>
      <w:tblStyleColBandSize w:val="1"/>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NormalTablo"/>
    <w:pPr>
      <w:spacing w:after="0" w:line="240" w:lineRule="auto"/>
    </w:pPr>
    <w:tblPr>
      <w:tblStyleRowBandSize w:val="1"/>
      <w:tblStyleColBandSize w:val="1"/>
      <w:tblCellMar>
        <w:left w:w="1" w:type="dxa"/>
        <w:right w:w="1"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NormalTablo"/>
    <w:pPr>
      <w:spacing w:after="0" w:line="240" w:lineRule="auto"/>
    </w:pPr>
    <w:tblPr>
      <w:tblStyleRowBandSize w:val="1"/>
      <w:tblStyleColBandSize w:val="1"/>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NormalTablo"/>
    <w:pPr>
      <w:spacing w:after="0" w:line="240" w:lineRule="auto"/>
    </w:pPr>
    <w:tblPr>
      <w:tblStyleRowBandSize w:val="1"/>
      <w:tblStyleColBandSize w:val="1"/>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NormalTablo"/>
    <w:pPr>
      <w:spacing w:after="0" w:line="240" w:lineRule="auto"/>
    </w:pPr>
    <w:tblPr>
      <w:tblStyleRowBandSize w:val="1"/>
      <w:tblStyleColBandSize w:val="1"/>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NormalTablo"/>
    <w:pPr>
      <w:spacing w:after="0" w:line="240" w:lineRule="auto"/>
    </w:pPr>
    <w:tblPr>
      <w:tblStyleRowBandSize w:val="1"/>
      <w:tblStyleColBandSize w:val="1"/>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NormalTablo"/>
    <w:pPr>
      <w:spacing w:after="0" w:line="240" w:lineRule="auto"/>
    </w:pPr>
    <w:tblPr>
      <w:tblStyleRowBandSize w:val="1"/>
      <w:tblStyleColBandSize w:val="1"/>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NormalTablo"/>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 w:type="dxa"/>
        <w:right w:w="1"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NormalTablo"/>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 w:type="dxa"/>
        <w:right w:w="1"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NormalTablo"/>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1" w:type="dxa"/>
        <w:right w:w="1"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NormalTablo"/>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 w:type="dxa"/>
        <w:right w:w="1"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NormalTablo"/>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1" w:type="dxa"/>
        <w:right w:w="1"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NormalTablo"/>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1" w:type="dxa"/>
        <w:right w:w="1"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NormalTablo"/>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1" w:type="dxa"/>
        <w:right w:w="1"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NormalTablo"/>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1" w:type="dxa"/>
        <w:right w:w="1"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NormalTablo"/>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NormalTablo"/>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NormalTablo"/>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NormalTablo"/>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NormalTablo"/>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502</Words>
  <Characters>2864</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FULYA ZEMLİKLİ</cp:lastModifiedBy>
  <cp:revision>7</cp:revision>
  <cp:lastPrinted>2016-09-02T13:22:00Z</cp:lastPrinted>
  <dcterms:created xsi:type="dcterms:W3CDTF">2022-04-19T08:14:00Z</dcterms:created>
  <dcterms:modified xsi:type="dcterms:W3CDTF">2022-07-04T07:09:00Z</dcterms:modified>
</cp:coreProperties>
</file>