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057"/>
      </w:tblGrid>
      <w:tr w:rsidR="0022049C">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contextualSpacing/>
              <w:rPr>
                <w:sz w:val="28"/>
              </w:rPr>
            </w:pPr>
            <w:r>
              <w:rPr>
                <w:b/>
              </w:rPr>
              <w:t>A- İŞE İLİŞKİN BİLGİLER</w:t>
            </w:r>
          </w:p>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shd w:val="clear" w:color="auto" w:fill="FFFFFF"/>
              <w:tabs>
                <w:tab w:val="left" w:pos="2025"/>
              </w:tabs>
              <w:rPr>
                <w:sz w:val="28"/>
              </w:rPr>
            </w:pPr>
            <w:r>
              <w:rPr>
                <w:b/>
              </w:rPr>
              <w:t>İşin Kısa Tanımı</w:t>
            </w:r>
          </w:p>
        </w:tc>
      </w:tr>
      <w:tr w:rsidR="0022049C">
        <w:trPr>
          <w:trHeight w:val="768"/>
        </w:trPr>
        <w:tc>
          <w:tcPr>
            <w:tcW w:w="9133" w:type="dxa"/>
            <w:tcBorders>
              <w:top w:val="single" w:sz="6" w:space="0" w:color="000000"/>
              <w:left w:val="single" w:sz="6" w:space="0" w:color="000000"/>
              <w:bottom w:val="single" w:sz="6" w:space="0" w:color="000000"/>
              <w:right w:val="single" w:sz="6" w:space="0" w:color="000000"/>
            </w:tcBorders>
          </w:tcPr>
          <w:p w:rsidR="0022049C" w:rsidRDefault="0098018A">
            <w:pPr>
              <w:jc w:val="both"/>
            </w:pPr>
            <w:r>
              <w:t>Üst yönetimi tarafından belirlenen amaç ve ilkelere uygun olarak; Birimlerin gerekli tüm faaliyetlerinin yürütülmesi amacıyla tüketim ve demirbaş malzemelerinin satın alma işlemlerini yapmak</w:t>
            </w:r>
          </w:p>
        </w:tc>
      </w:tr>
      <w:tr w:rsidR="0022049C">
        <w:trPr>
          <w:trHeight w:val="446"/>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tabs>
                <w:tab w:val="left" w:pos="5610"/>
              </w:tabs>
              <w:rPr>
                <w:sz w:val="28"/>
              </w:rPr>
            </w:pPr>
            <w:r>
              <w:rPr>
                <w:b/>
              </w:rPr>
              <w:t>Görev ve Sorumluluklar</w:t>
            </w:r>
          </w:p>
        </w:tc>
      </w:tr>
      <w:tr w:rsidR="0022049C">
        <w:trPr>
          <w:trHeight w:val="753"/>
        </w:trPr>
        <w:tc>
          <w:tcPr>
            <w:tcW w:w="9133" w:type="dxa"/>
            <w:tcBorders>
              <w:top w:val="single" w:sz="6" w:space="0" w:color="000000"/>
              <w:left w:val="single" w:sz="6" w:space="0" w:color="000000"/>
              <w:bottom w:val="single" w:sz="6" w:space="0" w:color="000000"/>
              <w:right w:val="single" w:sz="6" w:space="0" w:color="000000"/>
            </w:tcBorders>
          </w:tcPr>
          <w:p w:rsidR="003C1E36" w:rsidRPr="00B63435" w:rsidRDefault="003C1E36" w:rsidP="00B63435">
            <w:pPr>
              <w:jc w:val="both"/>
              <w:rPr>
                <w:rFonts w:asciiTheme="minorHAnsi" w:hAnsiTheme="minorHAnsi" w:cstheme="minorHAnsi"/>
                <w:b/>
                <w:color w:val="FF0000"/>
                <w:szCs w:val="22"/>
              </w:rPr>
            </w:pPr>
            <w:r w:rsidRPr="00062545">
              <w:rPr>
                <w:rFonts w:asciiTheme="minorHAnsi" w:hAnsiTheme="minorHAnsi" w:cstheme="minorHAnsi"/>
                <w:b/>
                <w:color w:val="FF0000"/>
                <w:szCs w:val="22"/>
              </w:rPr>
              <w:t>Genel Görev ve Sorumluluklar</w:t>
            </w:r>
          </w:p>
          <w:p w:rsidR="0022049C" w:rsidRDefault="0098018A">
            <w:pPr>
              <w:numPr>
                <w:ilvl w:val="0"/>
                <w:numId w:val="3"/>
              </w:numPr>
              <w:jc w:val="both"/>
            </w:pPr>
            <w:r>
              <w:t>Birimlerden gelen satın a</w:t>
            </w:r>
            <w:r w:rsidR="003C1E36">
              <w:t>lma taleplerini değerlendirir.</w:t>
            </w:r>
          </w:p>
          <w:p w:rsidR="003C1E36" w:rsidRDefault="003C1E36">
            <w:pPr>
              <w:numPr>
                <w:ilvl w:val="0"/>
                <w:numId w:val="3"/>
              </w:numPr>
              <w:jc w:val="both"/>
            </w:pPr>
            <w:r>
              <w:t>4734 sayılı Kamu İhale Kanunu ve 5018 sayılı Kamu Mali Yönetim Mevzuatı çerçevesinde yapılacak mal ve hizmet alımlarının tahakkuk işlemleri ile ödemelerini gerçekleştirir.</w:t>
            </w:r>
          </w:p>
          <w:p w:rsidR="003C1E36" w:rsidRDefault="003C1E36">
            <w:pPr>
              <w:numPr>
                <w:ilvl w:val="0"/>
                <w:numId w:val="3"/>
              </w:numPr>
              <w:jc w:val="both"/>
            </w:pPr>
            <w:r>
              <w:t xml:space="preserve">Görevleriyle ilgili mevzuata  (Kanunlar, Kanun Hükmünde Kararnameler, Cumhurbaşkanlığı Kararnameleri, Tüzükler,  Cumhurbaşkanı  Kararları, Yönetmelikler, Genelgeler, Yönergeler) </w:t>
            </w:r>
            <w:proofErr w:type="gramStart"/>
            <w:r>
              <w:t>hakim</w:t>
            </w:r>
            <w:proofErr w:type="gramEnd"/>
            <w:r>
              <w:t> olarak idari işleri yürütür.</w:t>
            </w:r>
          </w:p>
          <w:p w:rsidR="003C1E36" w:rsidRDefault="003C1E36">
            <w:pPr>
              <w:numPr>
                <w:ilvl w:val="0"/>
                <w:numId w:val="3"/>
              </w:numPr>
              <w:jc w:val="both"/>
            </w:pPr>
            <w:r>
              <w:t>Harcama belgeleri yönetmeliğine göre tahakkuka bağlanacak belgeleri inceler ve ödeme işlemlerini takip eder.</w:t>
            </w:r>
          </w:p>
          <w:p w:rsidR="003C1E36" w:rsidRDefault="003C1E36">
            <w:pPr>
              <w:numPr>
                <w:ilvl w:val="0"/>
                <w:numId w:val="3"/>
              </w:numPr>
              <w:jc w:val="both"/>
            </w:pPr>
            <w:r>
              <w:t>Ödeneklerin takibini yapar (Birim bütçesinden bir harcama yapılırken ilgili mevzuata uygun olup olmadığı ile harcamaların konusuna göre hangi tertipten ödeneceğinin tespitini yapar, ödeneği olmayan bir işe başlamaz, ödenek üstü harcama yapmaz.).</w:t>
            </w:r>
          </w:p>
          <w:p w:rsidR="00C53AD3" w:rsidRDefault="00C53AD3">
            <w:pPr>
              <w:numPr>
                <w:ilvl w:val="0"/>
                <w:numId w:val="3"/>
              </w:numPr>
              <w:jc w:val="both"/>
            </w:pPr>
            <w:r>
              <w:t xml:space="preserve">Satın alma taleplerinin mevcut ödenek durumlarını dikkate alarak takip eder. </w:t>
            </w:r>
          </w:p>
          <w:p w:rsidR="00C53AD3" w:rsidRDefault="00C53AD3">
            <w:pPr>
              <w:numPr>
                <w:ilvl w:val="0"/>
                <w:numId w:val="3"/>
              </w:numPr>
              <w:jc w:val="both"/>
            </w:pPr>
            <w:r>
              <w:t xml:space="preserve">Satın alma talep formlarını hazırlar. </w:t>
            </w:r>
          </w:p>
          <w:p w:rsidR="00C53AD3" w:rsidRDefault="00C53AD3">
            <w:pPr>
              <w:numPr>
                <w:ilvl w:val="0"/>
                <w:numId w:val="3"/>
              </w:numPr>
              <w:jc w:val="both"/>
            </w:pPr>
            <w:r>
              <w:t>Satın alma şekline göre diğer yazışmaları yapar (Yaklaşık maliyet, piyasa araştırma, mal muayene kabul, hizmet işleri kabul, ihale onay ve ödeme emri, tekliflerin alınması ve satın alma onay belgesinin hazırlanması).</w:t>
            </w:r>
          </w:p>
          <w:p w:rsidR="0022049C" w:rsidRDefault="0098018A">
            <w:pPr>
              <w:numPr>
                <w:ilvl w:val="0"/>
                <w:numId w:val="3"/>
              </w:numPr>
              <w:jc w:val="both"/>
            </w:pPr>
            <w:r>
              <w:t>Satın alınmasına karar verilen mal ve hizmetlerin yak</w:t>
            </w:r>
            <w:r w:rsidR="003C1E36">
              <w:t>laşık maliyetlerini tespit eder.</w:t>
            </w:r>
            <w:r>
              <w:t xml:space="preserve"> </w:t>
            </w:r>
          </w:p>
          <w:p w:rsidR="0022049C" w:rsidRDefault="0098018A">
            <w:pPr>
              <w:numPr>
                <w:ilvl w:val="0"/>
                <w:numId w:val="3"/>
              </w:numPr>
              <w:jc w:val="both"/>
            </w:pPr>
            <w:r>
              <w:t>Satın alınmasına karar verilen ve doğrudan temin limitini aşmayan mal ve hizmetleri Kamu İhale Kanunu Hükümlerine göre piyasadan vey</w:t>
            </w:r>
            <w:r w:rsidR="003C1E36">
              <w:t>a diğer kurumlardan temin eder.</w:t>
            </w:r>
            <w:r>
              <w:t xml:space="preserve"> </w:t>
            </w:r>
          </w:p>
          <w:p w:rsidR="0022049C" w:rsidRDefault="0098018A">
            <w:pPr>
              <w:numPr>
                <w:ilvl w:val="0"/>
                <w:numId w:val="3"/>
              </w:numPr>
              <w:jc w:val="both"/>
            </w:pPr>
            <w:r>
              <w:t>Doğrudan temin limitini aşan mal ve hizmet alımları i</w:t>
            </w:r>
            <w:r w:rsidR="003C1E36">
              <w:t>çin ihale süreçlerini hazırlar, ihale evraklarını tanzim eder</w:t>
            </w:r>
            <w:r>
              <w:t>, ihale komisyonu kararlarına göre ihaleyi sonuçlandır</w:t>
            </w:r>
            <w:r w:rsidR="003C1E36">
              <w:t>ır.</w:t>
            </w:r>
          </w:p>
          <w:p w:rsidR="0022049C" w:rsidRDefault="0098018A">
            <w:pPr>
              <w:numPr>
                <w:ilvl w:val="0"/>
                <w:numId w:val="3"/>
              </w:numPr>
              <w:jc w:val="both"/>
            </w:pPr>
            <w:r>
              <w:t>Satın alınan mal ve hizmetlere ilişkin ö</w:t>
            </w:r>
            <w:r w:rsidR="003C1E36">
              <w:t>deme emir belgelerini hazırlar</w:t>
            </w:r>
            <w:r>
              <w:t>, bu belgeleri mevzuatına uygun olarak Strateji G</w:t>
            </w:r>
            <w:r w:rsidR="003C1E36">
              <w:t>eliştirme Birimine teslim eder.</w:t>
            </w:r>
            <w:r>
              <w:t xml:space="preserve"> </w:t>
            </w:r>
          </w:p>
          <w:p w:rsidR="0022049C" w:rsidRDefault="0098018A">
            <w:pPr>
              <w:numPr>
                <w:ilvl w:val="0"/>
                <w:numId w:val="3"/>
              </w:numPr>
              <w:jc w:val="both"/>
            </w:pPr>
            <w:r>
              <w:t xml:space="preserve">Aboneliğe bağlı giderlerin (elektrik, telefon, su, </w:t>
            </w:r>
            <w:r w:rsidR="003C1E36">
              <w:t>vb.) ödeme emirlerini hazırlar</w:t>
            </w:r>
            <w:r>
              <w:t>, zamanında ve mevzuatına uygun olarak Strateji Ge</w:t>
            </w:r>
            <w:r w:rsidR="003C1E36">
              <w:t>liştirme Birimine teslim eder.</w:t>
            </w:r>
          </w:p>
          <w:p w:rsidR="0022049C" w:rsidRDefault="0098018A">
            <w:pPr>
              <w:numPr>
                <w:ilvl w:val="0"/>
                <w:numId w:val="3"/>
              </w:numPr>
              <w:jc w:val="both"/>
            </w:pPr>
            <w:r>
              <w:t xml:space="preserve">Yemekhane hizmetinin takibi </w:t>
            </w:r>
            <w:r w:rsidR="003C1E36">
              <w:t>yapar.</w:t>
            </w:r>
          </w:p>
          <w:p w:rsidR="001F3508" w:rsidRDefault="003C1E36">
            <w:pPr>
              <w:numPr>
                <w:ilvl w:val="0"/>
                <w:numId w:val="3"/>
              </w:numPr>
              <w:jc w:val="both"/>
            </w:pPr>
            <w:r>
              <w:t>Malzeme  alımı  için  gerekli  yazışmaların  yapılmasını,  kurulan  komisyonlarca  alı</w:t>
            </w:r>
            <w:r w:rsidR="001F3508">
              <w:t>mın gerçekleştirilmesini sağlar.</w:t>
            </w:r>
            <w:r>
              <w:t xml:space="preserve"> </w:t>
            </w:r>
          </w:p>
          <w:p w:rsidR="003C1E36" w:rsidRDefault="003C1E36">
            <w:pPr>
              <w:numPr>
                <w:ilvl w:val="0"/>
                <w:numId w:val="3"/>
              </w:numPr>
              <w:jc w:val="both"/>
            </w:pPr>
            <w:r>
              <w:t>Hak ediş icmali ve hak ediş raporlarının hazırlanma</w:t>
            </w:r>
            <w:r w:rsidR="001F3508">
              <w:t>sını sağlar.</w:t>
            </w:r>
          </w:p>
          <w:p w:rsidR="001F3508" w:rsidRDefault="001F3508">
            <w:pPr>
              <w:numPr>
                <w:ilvl w:val="0"/>
                <w:numId w:val="3"/>
              </w:numPr>
              <w:jc w:val="both"/>
            </w:pPr>
            <w:r>
              <w:t>Taşınır Mal Yönetmeliği’ne göre taşınır işlemlerinin yürütülmesini sağlar.</w:t>
            </w:r>
          </w:p>
          <w:p w:rsidR="0022049C" w:rsidRDefault="0098018A">
            <w:pPr>
              <w:numPr>
                <w:ilvl w:val="0"/>
                <w:numId w:val="3"/>
              </w:numPr>
              <w:jc w:val="both"/>
            </w:pPr>
            <w:r>
              <w:t xml:space="preserve">Amirleri tarafından </w:t>
            </w:r>
            <w:r w:rsidR="003C1E36">
              <w:t>verilecek diğer görevleri yapar.</w:t>
            </w:r>
          </w:p>
          <w:p w:rsidR="003C1E36" w:rsidRDefault="003C1E36" w:rsidP="003C1E36">
            <w:r>
              <w:rPr>
                <w:rFonts w:asciiTheme="minorHAnsi" w:hAnsiTheme="minorHAnsi" w:cstheme="minorHAnsi"/>
                <w:b/>
                <w:color w:val="FF0000"/>
                <w:szCs w:val="22"/>
              </w:rPr>
              <w:t>Birime Özel Görev ve Sorumluluklar</w:t>
            </w:r>
          </w:p>
          <w:p w:rsidR="003C1E36" w:rsidRDefault="003C1E36" w:rsidP="003C1E36">
            <w:pPr>
              <w:ind w:left="720"/>
              <w:jc w:val="both"/>
            </w:pPr>
          </w:p>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rPr>
                <w:sz w:val="28"/>
              </w:rPr>
            </w:pPr>
            <w:r>
              <w:rPr>
                <w:b/>
              </w:rPr>
              <w:lastRenderedPageBreak/>
              <w:t>Yetkiler</w:t>
            </w:r>
          </w:p>
        </w:tc>
      </w:tr>
      <w:tr w:rsidR="0022049C">
        <w:trPr>
          <w:trHeight w:val="753"/>
        </w:trPr>
        <w:tc>
          <w:tcPr>
            <w:tcW w:w="9133" w:type="dxa"/>
            <w:tcBorders>
              <w:top w:val="single" w:sz="6" w:space="0" w:color="000000"/>
              <w:left w:val="single" w:sz="6" w:space="0" w:color="000000"/>
              <w:bottom w:val="single" w:sz="6" w:space="0" w:color="000000"/>
              <w:right w:val="single" w:sz="6" w:space="0" w:color="000000"/>
            </w:tcBorders>
          </w:tcPr>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rPr>
                <w:sz w:val="28"/>
              </w:rPr>
            </w:pPr>
            <w:r>
              <w:rPr>
                <w:b/>
              </w:rPr>
              <w:t>İlgili Mevzuat</w:t>
            </w:r>
          </w:p>
        </w:tc>
      </w:tr>
      <w:tr w:rsidR="0022049C">
        <w:trPr>
          <w:trHeight w:val="894"/>
        </w:trPr>
        <w:tc>
          <w:tcPr>
            <w:tcW w:w="9133" w:type="dxa"/>
            <w:tcBorders>
              <w:top w:val="single" w:sz="6" w:space="0" w:color="000000"/>
              <w:left w:val="single" w:sz="6" w:space="0" w:color="000000"/>
              <w:bottom w:val="single" w:sz="6" w:space="0" w:color="000000"/>
              <w:right w:val="single" w:sz="6" w:space="0" w:color="000000"/>
            </w:tcBorders>
          </w:tcPr>
          <w:p w:rsidR="0022049C" w:rsidRDefault="0098018A">
            <w:pPr>
              <w:numPr>
                <w:ilvl w:val="0"/>
                <w:numId w:val="3"/>
              </w:numPr>
            </w:pPr>
            <w:r>
              <w:t>657 Sayılı Devlet Memurları Kanunu</w:t>
            </w:r>
          </w:p>
          <w:p w:rsidR="0022049C" w:rsidRDefault="0098018A">
            <w:pPr>
              <w:numPr>
                <w:ilvl w:val="0"/>
                <w:numId w:val="3"/>
              </w:numPr>
            </w:pPr>
            <w:r>
              <w:t>4734 Sayılı Kamu İhale Kanunu</w:t>
            </w:r>
          </w:p>
          <w:p w:rsidR="0022049C" w:rsidRDefault="0022049C">
            <w:bookmarkStart w:id="0" w:name="_GoBack"/>
            <w:bookmarkEnd w:id="0"/>
          </w:p>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rPr>
                <w:sz w:val="28"/>
              </w:rPr>
            </w:pPr>
            <w:r>
              <w:rPr>
                <w:b/>
              </w:rPr>
              <w:t>B- ATANACAKLARDA ARANACAK NİTELİKLER</w:t>
            </w:r>
          </w:p>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rPr>
                <w:sz w:val="28"/>
              </w:rPr>
            </w:pPr>
            <w:r>
              <w:rPr>
                <w:b/>
              </w:rPr>
              <w:t>Gerekli Öğrenim Düzeyi Ve Bölümü</w:t>
            </w:r>
          </w:p>
        </w:tc>
      </w:tr>
      <w:tr w:rsidR="0022049C">
        <w:trPr>
          <w:trHeight w:val="398"/>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22049C"/>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rPr>
                <w:sz w:val="28"/>
              </w:rPr>
            </w:pPr>
            <w:r>
              <w:rPr>
                <w:b/>
              </w:rPr>
              <w:t>Gerekli Mesleki Eğitim, Sertifikalar ve Diğer Eğitimler</w:t>
            </w:r>
          </w:p>
        </w:tc>
      </w:tr>
      <w:tr w:rsidR="0022049C">
        <w:trPr>
          <w:trHeight w:val="631"/>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rPr>
                <w:sz w:val="28"/>
              </w:rPr>
            </w:pPr>
            <w:r>
              <w:rPr>
                <w:b/>
              </w:rPr>
              <w:t>Gerekli Yabancı Dil Bilgisi ve Düzeyi</w:t>
            </w:r>
          </w:p>
        </w:tc>
      </w:tr>
      <w:tr w:rsidR="0022049C">
        <w:trPr>
          <w:trHeight w:val="354"/>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rPr>
                <w:sz w:val="28"/>
              </w:rPr>
            </w:pPr>
            <w:r>
              <w:rPr>
                <w:b/>
              </w:rPr>
              <w:lastRenderedPageBreak/>
              <w:t>Gerekli Hizmet Süresi</w:t>
            </w:r>
          </w:p>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p w:rsidR="0022049C" w:rsidRDefault="0022049C"/>
        </w:tc>
      </w:tr>
      <w:tr w:rsidR="0022049C">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rPr>
                <w:b/>
              </w:rPr>
            </w:pPr>
            <w:r>
              <w:rPr>
                <w:b/>
              </w:rPr>
              <w:t>Yetkinlikler</w:t>
            </w:r>
          </w:p>
        </w:tc>
      </w:tr>
      <w:tr w:rsidR="0022049C">
        <w:trPr>
          <w:trHeight w:val="677"/>
        </w:trPr>
        <w:tc>
          <w:tcPr>
            <w:tcW w:w="9133" w:type="dxa"/>
            <w:tcBorders>
              <w:top w:val="single" w:sz="6" w:space="0" w:color="000000"/>
              <w:left w:val="single" w:sz="6" w:space="0" w:color="000000"/>
              <w:bottom w:val="single" w:sz="6" w:space="0" w:color="000000"/>
              <w:right w:val="single" w:sz="6" w:space="0" w:color="000000"/>
            </w:tcBorders>
            <w:shd w:val="clear" w:color="auto" w:fill="FFFFFF"/>
          </w:tcPr>
          <w:p w:rsidR="0022049C" w:rsidRDefault="0098018A">
            <w:pPr>
              <w:numPr>
                <w:ilvl w:val="0"/>
                <w:numId w:val="3"/>
              </w:numPr>
            </w:pPr>
            <w:r>
              <w:t>657 Sayılı Devlet Memurları Kanun’unda belirtilen genel niteliklere sahip olmak.</w:t>
            </w:r>
          </w:p>
          <w:p w:rsidR="0022049C" w:rsidRDefault="0098018A">
            <w:pPr>
              <w:numPr>
                <w:ilvl w:val="0"/>
                <w:numId w:val="3"/>
              </w:numPr>
            </w:pPr>
            <w:r>
              <w:t xml:space="preserve">En az yüksekokul veya lisans mezunu olmak. </w:t>
            </w:r>
          </w:p>
          <w:p w:rsidR="0022049C" w:rsidRDefault="0098018A">
            <w:pPr>
              <w:numPr>
                <w:ilvl w:val="0"/>
                <w:numId w:val="3"/>
              </w:numPr>
            </w:pPr>
            <w:r>
              <w:t xml:space="preserve">Satınalma işlemleri ile ilgili mevzuatı bilmek. </w:t>
            </w:r>
          </w:p>
          <w:p w:rsidR="0022049C" w:rsidRDefault="0098018A">
            <w:pPr>
              <w:numPr>
                <w:ilvl w:val="0"/>
                <w:numId w:val="3"/>
              </w:numPr>
            </w:pPr>
            <w:r>
              <w:t>Görevini gereği gibi yerine getirebilmek için gerekli iş deneyimine sahip olmak.</w:t>
            </w:r>
          </w:p>
        </w:tc>
      </w:tr>
    </w:tbl>
    <w:p w:rsidR="0022049C" w:rsidRDefault="0022049C"/>
    <w:tbl>
      <w:tblPr>
        <w:tblStyle w:val="TabloKlavuzu"/>
        <w:tblW w:w="5000" w:type="pct"/>
        <w:tblLook w:val="04A0" w:firstRow="1" w:lastRow="0" w:firstColumn="1" w:lastColumn="0" w:noHBand="0" w:noVBand="1"/>
      </w:tblPr>
      <w:tblGrid>
        <w:gridCol w:w="3064"/>
        <w:gridCol w:w="3074"/>
        <w:gridCol w:w="2925"/>
      </w:tblGrid>
      <w:tr w:rsidR="0022049C">
        <w:trPr>
          <w:trHeight w:val="648"/>
        </w:trPr>
        <w:tc>
          <w:tcPr>
            <w:tcW w:w="9133" w:type="dxa"/>
            <w:vAlign w:val="center"/>
          </w:tcPr>
          <w:p w:rsidR="0022049C" w:rsidRDefault="0098018A">
            <w:pPr>
              <w:pBdr>
                <w:top w:val="none" w:sz="0" w:space="0" w:color="auto"/>
                <w:left w:val="none" w:sz="0" w:space="0" w:color="auto"/>
                <w:bottom w:val="none" w:sz="0" w:space="0" w:color="auto"/>
                <w:right w:val="none" w:sz="0" w:space="0" w:color="auto"/>
              </w:pBdr>
              <w:jc w:val="center"/>
              <w:rPr>
                <w:b/>
              </w:rPr>
            </w:pPr>
            <w:r>
              <w:rPr>
                <w:b/>
              </w:rPr>
              <w:t>Hazırlayan</w:t>
            </w:r>
          </w:p>
        </w:tc>
        <w:tc>
          <w:tcPr>
            <w:tcW w:w="9133" w:type="dxa"/>
            <w:vAlign w:val="center"/>
          </w:tcPr>
          <w:p w:rsidR="0022049C" w:rsidRDefault="0098018A">
            <w:pPr>
              <w:pBdr>
                <w:top w:val="none" w:sz="0" w:space="0" w:color="auto"/>
                <w:left w:val="none" w:sz="0" w:space="0" w:color="auto"/>
                <w:bottom w:val="none" w:sz="0" w:space="0" w:color="auto"/>
                <w:right w:val="none" w:sz="0" w:space="0" w:color="auto"/>
              </w:pBdr>
              <w:jc w:val="center"/>
              <w:rPr>
                <w:b/>
              </w:rPr>
            </w:pPr>
            <w:r>
              <w:rPr>
                <w:b/>
              </w:rPr>
              <w:t>Onaylayan</w:t>
            </w:r>
          </w:p>
        </w:tc>
        <w:tc>
          <w:tcPr>
            <w:tcW w:w="9133" w:type="dxa"/>
            <w:vAlign w:val="center"/>
          </w:tcPr>
          <w:p w:rsidR="0022049C" w:rsidRDefault="0098018A">
            <w:pPr>
              <w:pBdr>
                <w:top w:val="none" w:sz="0" w:space="0" w:color="auto"/>
                <w:left w:val="none" w:sz="0" w:space="0" w:color="auto"/>
                <w:bottom w:val="none" w:sz="0" w:space="0" w:color="auto"/>
                <w:right w:val="none" w:sz="0" w:space="0" w:color="auto"/>
              </w:pBdr>
              <w:jc w:val="center"/>
              <w:rPr>
                <w:b/>
              </w:rPr>
            </w:pPr>
            <w:r>
              <w:rPr>
                <w:b/>
              </w:rPr>
              <w:t>Tebellüğ Eden</w:t>
            </w:r>
          </w:p>
        </w:tc>
      </w:tr>
      <w:tr w:rsidR="0022049C">
        <w:trPr>
          <w:trHeight w:val="828"/>
        </w:trPr>
        <w:tc>
          <w:tcPr>
            <w:tcW w:w="9133" w:type="dxa"/>
          </w:tcPr>
          <w:p w:rsidR="0022049C" w:rsidRDefault="0022049C"/>
        </w:tc>
        <w:tc>
          <w:tcPr>
            <w:tcW w:w="9133" w:type="dxa"/>
          </w:tcPr>
          <w:p w:rsidR="0022049C" w:rsidRDefault="0022049C"/>
        </w:tc>
        <w:tc>
          <w:tcPr>
            <w:tcW w:w="9133" w:type="dxa"/>
          </w:tcPr>
          <w:p w:rsidR="0022049C" w:rsidRDefault="0022049C"/>
        </w:tc>
      </w:tr>
      <w:tr w:rsidR="0022049C">
        <w:trPr>
          <w:trHeight w:val="414"/>
        </w:trPr>
        <w:tc>
          <w:tcPr>
            <w:tcW w:w="9133" w:type="dxa"/>
            <w:vAlign w:val="center"/>
          </w:tcPr>
          <w:p w:rsidR="0022049C" w:rsidRDefault="0098018A">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22049C" w:rsidRDefault="0098018A">
            <w:pPr>
              <w:pBdr>
                <w:top w:val="none" w:sz="0" w:space="0" w:color="auto"/>
                <w:left w:val="none" w:sz="0" w:space="0" w:color="auto"/>
                <w:bottom w:val="none" w:sz="0" w:space="0" w:color="auto"/>
                <w:right w:val="none" w:sz="0" w:space="0" w:color="auto"/>
              </w:pBdr>
              <w:rPr>
                <w:b/>
              </w:rPr>
            </w:pPr>
            <w:r>
              <w:rPr>
                <w:b/>
              </w:rPr>
              <w:t>Tarih:</w:t>
            </w:r>
          </w:p>
        </w:tc>
        <w:tc>
          <w:tcPr>
            <w:tcW w:w="9133" w:type="dxa"/>
            <w:vAlign w:val="center"/>
          </w:tcPr>
          <w:p w:rsidR="0022049C" w:rsidRDefault="0098018A">
            <w:pPr>
              <w:pBdr>
                <w:top w:val="none" w:sz="0" w:space="0" w:color="auto"/>
                <w:left w:val="none" w:sz="0" w:space="0" w:color="auto"/>
                <w:bottom w:val="none" w:sz="0" w:space="0" w:color="auto"/>
                <w:right w:val="none" w:sz="0" w:space="0" w:color="auto"/>
              </w:pBdr>
              <w:rPr>
                <w:b/>
              </w:rPr>
            </w:pPr>
            <w:r>
              <w:rPr>
                <w:b/>
              </w:rPr>
              <w:t>Tarih:</w:t>
            </w:r>
          </w:p>
        </w:tc>
      </w:tr>
    </w:tbl>
    <w:p w:rsidR="0022049C" w:rsidRDefault="0022049C"/>
    <w:sectPr w:rsidR="0022049C">
      <w:headerReference w:type="default" r:id="rId7"/>
      <w:footerReference w:type="default" r:id="rId8"/>
      <w:pgSz w:w="11907" w:h="16839" w:code="9"/>
      <w:pgMar w:top="992"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DB" w:rsidRDefault="002078DB">
      <w:pPr>
        <w:spacing w:after="0" w:line="240" w:lineRule="auto"/>
      </w:pPr>
      <w:r>
        <w:separator/>
      </w:r>
    </w:p>
  </w:endnote>
  <w:endnote w:type="continuationSeparator" w:id="0">
    <w:p w:rsidR="002078DB" w:rsidRDefault="0020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9C" w:rsidRDefault="0098018A">
    <w:pPr>
      <w:jc w:val="center"/>
    </w:pPr>
    <w:r>
      <w:fldChar w:fldCharType="begin"/>
    </w:r>
    <w:r>
      <w:instrText>NUMPAGES</w:instrText>
    </w:r>
    <w:r>
      <w:fldChar w:fldCharType="separate"/>
    </w:r>
    <w:r w:rsidR="00E41222">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DB" w:rsidRDefault="002078DB">
      <w:pPr>
        <w:spacing w:after="0" w:line="240" w:lineRule="auto"/>
      </w:pPr>
      <w:r>
        <w:separator/>
      </w:r>
    </w:p>
  </w:footnote>
  <w:footnote w:type="continuationSeparator" w:id="0">
    <w:p w:rsidR="002078DB" w:rsidRDefault="00207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9C" w:rsidRDefault="0022049C">
    <w:pPr>
      <w:pStyle w:val="stBilgi"/>
      <w:keepLines/>
      <w:ind w:left="7" w:right="143" w:hanging="7"/>
      <w:rPr>
        <w:b/>
        <w:noProof/>
      </w:rPr>
    </w:pPr>
  </w:p>
  <w:tbl>
    <w:tblPr>
      <w:tblStyle w:val="TabloKlavuzu"/>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7"/>
      <w:gridCol w:w="4578"/>
      <w:gridCol w:w="2112"/>
    </w:tblGrid>
    <w:tr w:rsidR="0022049C">
      <w:tc>
        <w:tcPr>
          <w:tcW w:w="9133" w:type="dxa"/>
          <w:gridSpan w:val="3"/>
          <w:tcBorders>
            <w:top w:val="single" w:sz="6" w:space="0" w:color="000000"/>
            <w:left w:val="single" w:sz="6" w:space="0" w:color="000000"/>
            <w:bottom w:val="single" w:sz="6" w:space="0" w:color="000000"/>
            <w:right w:val="single" w:sz="6" w:space="0" w:color="000000"/>
          </w:tcBorders>
          <w:vAlign w:val="center"/>
        </w:tcPr>
        <w:p w:rsidR="0022049C" w:rsidRDefault="0098018A">
          <w:pPr>
            <w:keepLines/>
            <w:jc w:val="center"/>
            <w:rPr>
              <w:b/>
              <w:noProof/>
              <w:lang w:eastAsia="tr-TR"/>
            </w:rPr>
          </w:pPr>
          <w:r>
            <w:rPr>
              <w:b/>
              <w:noProof/>
            </w:rPr>
            <w:t>PERSONEL GÖREV TANIM FORMU</w:t>
          </w:r>
        </w:p>
      </w:tc>
    </w:tr>
    <w:tr w:rsidR="0022049C">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keepLines/>
            <w:tabs>
              <w:tab w:val="center" w:pos="726"/>
              <w:tab w:val="left" w:pos="1125"/>
            </w:tabs>
            <w:rPr>
              <w:b/>
            </w:rPr>
          </w:pPr>
          <w:r>
            <w:rPr>
              <w:b/>
            </w:rPr>
            <w:t>BİRİM ADI</w:t>
          </w:r>
        </w:p>
      </w:tc>
      <w:tc>
        <w:tcPr>
          <w:tcW w:w="14693" w:type="dxa"/>
          <w:tcBorders>
            <w:top w:val="single" w:sz="6" w:space="0" w:color="000000"/>
            <w:left w:val="single" w:sz="6" w:space="0" w:color="000000"/>
            <w:bottom w:val="single" w:sz="6" w:space="0" w:color="000000"/>
            <w:right w:val="single" w:sz="6" w:space="0" w:color="000000"/>
          </w:tcBorders>
        </w:tcPr>
        <w:p w:rsidR="0022049C" w:rsidRDefault="0098018A">
          <w:pPr>
            <w:pStyle w:val="stBilgi"/>
            <w:keepLines/>
            <w:tabs>
              <w:tab w:val="clear" w:pos="7143"/>
              <w:tab w:val="clear" w:pos="14287"/>
            </w:tabs>
            <w:rPr>
              <w:b/>
            </w:rPr>
          </w:pPr>
          <w:r>
            <w:rPr>
              <w:b/>
            </w:rPr>
            <w:t>ÇUKUROVA ÜNİVERSİTESİ</w:t>
          </w:r>
        </w:p>
      </w:tc>
      <w:tc>
        <w:tcPr>
          <w:tcW w:w="4057" w:type="dxa"/>
          <w:vMerge w:val="restart"/>
          <w:tcBorders>
            <w:top w:val="single" w:sz="6" w:space="0" w:color="000000"/>
            <w:left w:val="single" w:sz="6" w:space="0" w:color="000000"/>
            <w:bottom w:val="single" w:sz="6" w:space="0" w:color="000000"/>
            <w:right w:val="single" w:sz="6" w:space="0" w:color="000000"/>
          </w:tcBorders>
          <w:vAlign w:val="center"/>
        </w:tcPr>
        <w:p w:rsidR="0022049C" w:rsidRDefault="0098018A">
          <w:pPr>
            <w:keepLines/>
            <w:jc w:val="center"/>
          </w:pPr>
          <w:r>
            <w:rPr>
              <w:noProof/>
              <w:lang w:eastAsia="tr-TR"/>
            </w:rPr>
            <w:drawing>
              <wp:inline distT="0" distB="0" distL="0" distR="0">
                <wp:extent cx="823595" cy="8235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3595" cy="823595"/>
                        </a:xfrm>
                        <a:prstGeom prst="rect">
                          <a:avLst/>
                        </a:prstGeom>
                        <a:noFill/>
                      </pic:spPr>
                    </pic:pic>
                  </a:graphicData>
                </a:graphic>
              </wp:inline>
            </w:drawing>
          </w:r>
        </w:p>
      </w:tc>
    </w:tr>
    <w:tr w:rsidR="0022049C">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keepLines/>
            <w:tabs>
              <w:tab w:val="center" w:pos="726"/>
            </w:tabs>
            <w:rPr>
              <w:b/>
            </w:rPr>
          </w:pPr>
          <w:r>
            <w:rPr>
              <w:b/>
            </w:rPr>
            <w:t>BAĞLI OLDUĞU BİRİM</w:t>
          </w:r>
        </w:p>
      </w:tc>
      <w:tc>
        <w:tcPr>
          <w:tcW w:w="14693" w:type="dxa"/>
          <w:tcBorders>
            <w:top w:val="single" w:sz="6" w:space="0" w:color="000000"/>
            <w:left w:val="single" w:sz="6" w:space="0" w:color="000000"/>
            <w:bottom w:val="single" w:sz="6" w:space="0" w:color="000000"/>
            <w:right w:val="single" w:sz="6" w:space="0" w:color="000000"/>
          </w:tcBorders>
        </w:tcPr>
        <w:p w:rsidR="0022049C" w:rsidRDefault="0022049C">
          <w:pPr>
            <w:pStyle w:val="stBilgi"/>
            <w:keepLines/>
            <w:tabs>
              <w:tab w:val="center" w:pos="726"/>
            </w:tabs>
            <w:rPr>
              <w:b/>
            </w:rPr>
          </w:pPr>
        </w:p>
      </w:tc>
      <w:tc>
        <w:tcPr>
          <w:tcW w:w="4057" w:type="dxa"/>
          <w:vMerge/>
        </w:tcPr>
        <w:p w:rsidR="0022049C" w:rsidRDefault="0022049C">
          <w:pPr>
            <w:keepLines/>
            <w:tabs>
              <w:tab w:val="center" w:pos="726"/>
            </w:tabs>
            <w:rPr>
              <w:b/>
            </w:rPr>
          </w:pPr>
        </w:p>
      </w:tc>
    </w:tr>
    <w:tr w:rsidR="0022049C">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keepLines/>
            <w:tabs>
              <w:tab w:val="center" w:pos="726"/>
            </w:tabs>
            <w:rPr>
              <w:b/>
            </w:rPr>
          </w:pPr>
          <w:r>
            <w:rPr>
              <w:b/>
            </w:rPr>
            <w:t>GÖREV UNVANI</w:t>
          </w:r>
        </w:p>
      </w:tc>
      <w:tc>
        <w:tcPr>
          <w:tcW w:w="14693" w:type="dxa"/>
          <w:tcBorders>
            <w:top w:val="single" w:sz="6" w:space="0" w:color="000000"/>
            <w:left w:val="single" w:sz="6" w:space="0" w:color="000000"/>
            <w:bottom w:val="single" w:sz="6" w:space="0" w:color="000000"/>
            <w:right w:val="single" w:sz="6" w:space="0" w:color="000000"/>
          </w:tcBorders>
        </w:tcPr>
        <w:p w:rsidR="0022049C" w:rsidRDefault="0098018A">
          <w:pPr>
            <w:keepLines/>
          </w:pPr>
          <w:r>
            <w:rPr>
              <w:b/>
            </w:rPr>
            <w:t>SATIN ALMA GÖREVLİSİ</w:t>
          </w:r>
        </w:p>
      </w:tc>
      <w:tc>
        <w:tcPr>
          <w:tcW w:w="4057" w:type="dxa"/>
          <w:vMerge/>
        </w:tcPr>
        <w:p w:rsidR="0022049C" w:rsidRDefault="0022049C">
          <w:pPr>
            <w:keepLines/>
          </w:pPr>
        </w:p>
      </w:tc>
    </w:tr>
    <w:tr w:rsidR="0022049C">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keepLines/>
            <w:rPr>
              <w:b/>
            </w:rPr>
          </w:pPr>
          <w:r>
            <w:rPr>
              <w:b/>
            </w:rPr>
            <w:t>KADROSU</w:t>
          </w:r>
        </w:p>
      </w:tc>
      <w:tc>
        <w:tcPr>
          <w:tcW w:w="14693" w:type="dxa"/>
          <w:tcBorders>
            <w:top w:val="single" w:sz="6" w:space="0" w:color="000000"/>
            <w:left w:val="single" w:sz="6" w:space="0" w:color="000000"/>
            <w:bottom w:val="single" w:sz="6" w:space="0" w:color="000000"/>
            <w:right w:val="single" w:sz="6" w:space="0" w:color="000000"/>
          </w:tcBorders>
        </w:tcPr>
        <w:p w:rsidR="0022049C" w:rsidRDefault="0022049C">
          <w:pPr>
            <w:keepLines/>
            <w:rPr>
              <w:b/>
            </w:rPr>
          </w:pPr>
        </w:p>
      </w:tc>
      <w:tc>
        <w:tcPr>
          <w:tcW w:w="4057" w:type="dxa"/>
          <w:vMerge/>
        </w:tcPr>
        <w:p w:rsidR="0022049C" w:rsidRDefault="0022049C">
          <w:pPr>
            <w:keepLines/>
            <w:rPr>
              <w:b/>
            </w:rPr>
          </w:pPr>
        </w:p>
      </w:tc>
    </w:tr>
    <w:tr w:rsidR="0022049C">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keepLines/>
            <w:rPr>
              <w:b/>
            </w:rPr>
          </w:pPr>
          <w:r>
            <w:rPr>
              <w:b/>
            </w:rPr>
            <w:t>PERSONEL</w:t>
          </w:r>
        </w:p>
      </w:tc>
      <w:tc>
        <w:tcPr>
          <w:tcW w:w="14693" w:type="dxa"/>
          <w:tcBorders>
            <w:top w:val="single" w:sz="6" w:space="0" w:color="000000"/>
            <w:left w:val="single" w:sz="6" w:space="0" w:color="000000"/>
            <w:bottom w:val="single" w:sz="6" w:space="0" w:color="000000"/>
            <w:right w:val="single" w:sz="6" w:space="0" w:color="000000"/>
          </w:tcBorders>
        </w:tcPr>
        <w:p w:rsidR="0022049C" w:rsidRDefault="0022049C">
          <w:pPr>
            <w:keepLines/>
            <w:rPr>
              <w:b/>
            </w:rPr>
          </w:pPr>
        </w:p>
      </w:tc>
      <w:tc>
        <w:tcPr>
          <w:tcW w:w="4057" w:type="dxa"/>
          <w:vMerge/>
        </w:tcPr>
        <w:p w:rsidR="0022049C" w:rsidRDefault="0022049C">
          <w:pPr>
            <w:keepLines/>
            <w:rPr>
              <w:b/>
            </w:rPr>
          </w:pPr>
        </w:p>
      </w:tc>
    </w:tr>
    <w:tr w:rsidR="0022049C">
      <w:tc>
        <w:tcPr>
          <w:tcW w:w="6279" w:type="dxa"/>
          <w:tcBorders>
            <w:top w:val="single" w:sz="6" w:space="0" w:color="000000"/>
            <w:left w:val="single" w:sz="6" w:space="0" w:color="000000"/>
            <w:bottom w:val="single" w:sz="6" w:space="0" w:color="000000"/>
            <w:right w:val="single" w:sz="6" w:space="0" w:color="000000"/>
          </w:tcBorders>
          <w:shd w:val="clear" w:color="auto" w:fill="BCD7ED"/>
        </w:tcPr>
        <w:p w:rsidR="0022049C" w:rsidRDefault="0098018A">
          <w:pPr>
            <w:keepLines/>
          </w:pPr>
          <w:r>
            <w:rPr>
              <w:b/>
            </w:rPr>
            <w:t>YEDEK PERSONEL</w:t>
          </w:r>
        </w:p>
      </w:tc>
      <w:tc>
        <w:tcPr>
          <w:tcW w:w="14693" w:type="dxa"/>
          <w:tcBorders>
            <w:top w:val="single" w:sz="6" w:space="0" w:color="000000"/>
            <w:left w:val="single" w:sz="6" w:space="0" w:color="000000"/>
            <w:bottom w:val="single" w:sz="6" w:space="0" w:color="000000"/>
            <w:right w:val="single" w:sz="6" w:space="0" w:color="000000"/>
          </w:tcBorders>
        </w:tcPr>
        <w:p w:rsidR="0022049C" w:rsidRDefault="0098018A">
          <w:pPr>
            <w:keepLines/>
          </w:pPr>
          <w:r>
            <w:rPr>
              <w:b/>
            </w:rPr>
            <w:t xml:space="preserve"> </w:t>
          </w:r>
        </w:p>
      </w:tc>
      <w:tc>
        <w:tcPr>
          <w:tcW w:w="4057" w:type="dxa"/>
          <w:vMerge/>
        </w:tcPr>
        <w:p w:rsidR="0022049C" w:rsidRDefault="0022049C">
          <w:pPr>
            <w:keepLines/>
          </w:pPr>
        </w:p>
      </w:tc>
    </w:tr>
  </w:tbl>
  <w:p w:rsidR="0022049C" w:rsidRDefault="00220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7AD2"/>
    <w:multiLevelType w:val="multilevel"/>
    <w:tmpl w:val="FEA49928"/>
    <w:lvl w:ilvl="0">
      <w:start w:val="1"/>
      <w:numFmt w:val="bullet"/>
      <w:lvlText w:val="·"/>
      <w:lvlJc w:val="left"/>
      <w:pPr>
        <w:ind w:left="720" w:hanging="354"/>
      </w:pPr>
      <w:rPr>
        <w:rFonts w:ascii="Symbol" w:hAnsi="Symbol"/>
      </w:rPr>
    </w:lvl>
    <w:lvl w:ilvl="1">
      <w:start w:val="1"/>
      <w:numFmt w:val="bullet"/>
      <w:lvlText w:val="o"/>
      <w:lvlJc w:val="left"/>
      <w:pPr>
        <w:ind w:left="1440" w:hanging="354"/>
      </w:pPr>
      <w:rPr>
        <w:rFonts w:ascii="Symbol" w:hAnsi="Symbol"/>
      </w:rPr>
    </w:lvl>
    <w:lvl w:ilvl="2">
      <w:start w:val="1"/>
      <w:numFmt w:val="bullet"/>
      <w:lvlText w:val="·"/>
      <w:lvlJc w:val="left"/>
      <w:pPr>
        <w:ind w:left="2160" w:hanging="354"/>
      </w:pPr>
      <w:rPr>
        <w:rFonts w:ascii="Symbol" w:hAnsi="Symbol"/>
      </w:rPr>
    </w:lvl>
    <w:lvl w:ilvl="3">
      <w:start w:val="1"/>
      <w:numFmt w:val="bullet"/>
      <w:lvlText w:val="o"/>
      <w:lvlJc w:val="left"/>
      <w:pPr>
        <w:ind w:left="2880" w:hanging="354"/>
      </w:pPr>
      <w:rPr>
        <w:rFonts w:ascii="Symbol" w:hAnsi="Symbol"/>
      </w:rPr>
    </w:lvl>
    <w:lvl w:ilvl="4">
      <w:start w:val="1"/>
      <w:numFmt w:val="bullet"/>
      <w:lvlText w:val="·"/>
      <w:lvlJc w:val="left"/>
      <w:pPr>
        <w:ind w:left="3600" w:hanging="354"/>
      </w:pPr>
      <w:rPr>
        <w:rFonts w:ascii="Symbol" w:hAnsi="Symbol"/>
      </w:rPr>
    </w:lvl>
    <w:lvl w:ilvl="5">
      <w:start w:val="1"/>
      <w:numFmt w:val="bullet"/>
      <w:lvlText w:val="o"/>
      <w:lvlJc w:val="left"/>
      <w:pPr>
        <w:ind w:left="4320" w:hanging="354"/>
      </w:pPr>
      <w:rPr>
        <w:rFonts w:ascii="Symbol" w:hAnsi="Symbol"/>
      </w:rPr>
    </w:lvl>
    <w:lvl w:ilvl="6">
      <w:start w:val="1"/>
      <w:numFmt w:val="bullet"/>
      <w:lvlText w:val="·"/>
      <w:lvlJc w:val="left"/>
      <w:pPr>
        <w:ind w:left="5040" w:hanging="354"/>
      </w:pPr>
      <w:rPr>
        <w:rFonts w:ascii="Symbol" w:hAnsi="Symbol"/>
      </w:rPr>
    </w:lvl>
    <w:lvl w:ilvl="7">
      <w:start w:val="1"/>
      <w:numFmt w:val="bullet"/>
      <w:lvlText w:val="o"/>
      <w:lvlJc w:val="left"/>
      <w:pPr>
        <w:ind w:left="5760" w:hanging="354"/>
      </w:pPr>
      <w:rPr>
        <w:rFonts w:ascii="Symbol" w:hAnsi="Symbol"/>
      </w:rPr>
    </w:lvl>
    <w:lvl w:ilvl="8">
      <w:start w:val="1"/>
      <w:numFmt w:val="bullet"/>
      <w:lvlText w:val="·"/>
      <w:lvlJc w:val="left"/>
      <w:pPr>
        <w:ind w:left="6480" w:hanging="354"/>
      </w:pPr>
      <w:rPr>
        <w:rFonts w:ascii="Symbol" w:hAnsi="Symbol"/>
      </w:rPr>
    </w:lvl>
  </w:abstractNum>
  <w:abstractNum w:abstractNumId="1" w15:restartNumberingAfterBreak="0">
    <w:nsid w:val="7AC84B9A"/>
    <w:multiLevelType w:val="multilevel"/>
    <w:tmpl w:val="3CD291FC"/>
    <w:lvl w:ilvl="0">
      <w:start w:val="1"/>
      <w:numFmt w:val="bullet"/>
      <w:lvlText w:val=""/>
      <w:lvlJc w:val="left"/>
      <w:pPr>
        <w:ind w:left="720" w:hanging="358"/>
      </w:pPr>
      <w:rPr>
        <w:rFonts w:ascii="Symbol" w:hAnsi="Symbol"/>
      </w:rPr>
    </w:lvl>
    <w:lvl w:ilvl="1">
      <w:start w:val="1"/>
      <w:numFmt w:val="bullet"/>
      <w:lvlText w:val="o"/>
      <w:lvlJc w:val="left"/>
      <w:pPr>
        <w:ind w:left="1440" w:hanging="358"/>
      </w:pPr>
      <w:rPr>
        <w:rFonts w:ascii="Courier New" w:hAnsi="Courier New"/>
      </w:rPr>
    </w:lvl>
    <w:lvl w:ilvl="2">
      <w:start w:val="3"/>
      <w:numFmt w:val="bullet"/>
      <w:lvlText w:val="-"/>
      <w:lvlJc w:val="left"/>
      <w:pPr>
        <w:ind w:left="2160" w:hanging="358"/>
      </w:pPr>
      <w:rPr>
        <w:rFonts w:ascii="Arial" w:hAnsi="Arial"/>
      </w:rPr>
    </w:lvl>
    <w:lvl w:ilvl="3">
      <w:start w:val="1"/>
      <w:numFmt w:val="bullet"/>
      <w:lvlText w:val=""/>
      <w:lvlJc w:val="left"/>
      <w:pPr>
        <w:ind w:left="2880" w:hanging="358"/>
      </w:pPr>
      <w:rPr>
        <w:rFonts w:ascii="Symbol" w:hAnsi="Symbol"/>
      </w:rPr>
    </w:lvl>
    <w:lvl w:ilvl="4">
      <w:start w:val="1"/>
      <w:numFmt w:val="bullet"/>
      <w:lvlText w:val="o"/>
      <w:lvlJc w:val="left"/>
      <w:pPr>
        <w:ind w:left="3600" w:hanging="358"/>
      </w:pPr>
      <w:rPr>
        <w:rFonts w:ascii="Courier New" w:hAnsi="Courier New"/>
      </w:rPr>
    </w:lvl>
    <w:lvl w:ilvl="5">
      <w:start w:val="1"/>
      <w:numFmt w:val="bullet"/>
      <w:lvlText w:val=""/>
      <w:lvlJc w:val="left"/>
      <w:pPr>
        <w:ind w:left="4320" w:hanging="358"/>
      </w:pPr>
      <w:rPr>
        <w:rFonts w:ascii="Wingdings" w:hAnsi="Wingdings"/>
      </w:rPr>
    </w:lvl>
    <w:lvl w:ilvl="6">
      <w:start w:val="1"/>
      <w:numFmt w:val="bullet"/>
      <w:lvlText w:val=""/>
      <w:lvlJc w:val="left"/>
      <w:pPr>
        <w:ind w:left="5040" w:hanging="358"/>
      </w:pPr>
      <w:rPr>
        <w:rFonts w:ascii="Symbol" w:hAnsi="Symbol"/>
      </w:rPr>
    </w:lvl>
    <w:lvl w:ilvl="7">
      <w:start w:val="1"/>
      <w:numFmt w:val="bullet"/>
      <w:lvlText w:val="o"/>
      <w:lvlJc w:val="left"/>
      <w:pPr>
        <w:ind w:left="5760" w:hanging="358"/>
      </w:pPr>
      <w:rPr>
        <w:rFonts w:ascii="Courier New" w:hAnsi="Courier New"/>
      </w:rPr>
    </w:lvl>
    <w:lvl w:ilvl="8">
      <w:start w:val="1"/>
      <w:numFmt w:val="bullet"/>
      <w:lvlText w:val=""/>
      <w:lvlJc w:val="left"/>
      <w:pPr>
        <w:ind w:left="6480" w:hanging="358"/>
      </w:pPr>
      <w:rPr>
        <w:rFonts w:ascii="Wingdings" w:hAnsi="Wingdings"/>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9C"/>
    <w:rsid w:val="001F3508"/>
    <w:rsid w:val="002078DB"/>
    <w:rsid w:val="0022049C"/>
    <w:rsid w:val="003C1E36"/>
    <w:rsid w:val="004C0DAB"/>
    <w:rsid w:val="0098018A"/>
    <w:rsid w:val="00B42F0C"/>
    <w:rsid w:val="00B63435"/>
    <w:rsid w:val="00BD3791"/>
    <w:rsid w:val="00C53AD3"/>
    <w:rsid w:val="00E41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00A0"/>
  <w15:docId w15:val="{1F7BC56A-1584-4451-96A3-F1AE53E8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tr-TR" w:eastAsia="en-US" w:bidi="ar-SA"/>
      </w:rPr>
    </w:rPrDefault>
    <w:pPrDefault>
      <w:pPr>
        <w:pBdr>
          <w:top w:val="nil"/>
          <w:left w:val="nil"/>
          <w:bottom w:val="nil"/>
          <w:right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keepLines/>
      <w:spacing w:before="480" w:after="0"/>
      <w:outlineLvl w:val="0"/>
    </w:pPr>
    <w:rPr>
      <w:b/>
      <w:sz w:val="48"/>
    </w:rPr>
  </w:style>
  <w:style w:type="paragraph" w:styleId="Balk2">
    <w:name w:val="heading 2"/>
    <w:basedOn w:val="Normal"/>
    <w:next w:val="Normal"/>
    <w:qFormat/>
    <w:pPr>
      <w:keepNext/>
      <w:keepLines/>
      <w:spacing w:before="200" w:after="0"/>
      <w:outlineLvl w:val="1"/>
    </w:pPr>
    <w:rPr>
      <w:b/>
      <w:sz w:val="40"/>
    </w:rPr>
  </w:style>
  <w:style w:type="paragraph" w:styleId="Balk3">
    <w:name w:val="heading 3"/>
    <w:basedOn w:val="Normal"/>
    <w:next w:val="Normal"/>
    <w:qFormat/>
    <w:pPr>
      <w:keepNext/>
      <w:keepLines/>
      <w:spacing w:before="200" w:after="0"/>
      <w:outlineLvl w:val="2"/>
    </w:pPr>
    <w:rPr>
      <w:b/>
      <w:i/>
      <w:sz w:val="36"/>
    </w:rPr>
  </w:style>
  <w:style w:type="paragraph" w:styleId="Balk4">
    <w:name w:val="heading 4"/>
    <w:basedOn w:val="Normal"/>
    <w:next w:val="Normal"/>
    <w:qFormat/>
    <w:pPr>
      <w:keepNext/>
      <w:keepLines/>
      <w:spacing w:before="200" w:after="0"/>
      <w:outlineLvl w:val="3"/>
    </w:pPr>
    <w:rPr>
      <w:color w:val="232323"/>
      <w:sz w:val="32"/>
    </w:rPr>
  </w:style>
  <w:style w:type="paragraph" w:styleId="Balk5">
    <w:name w:val="heading 5"/>
    <w:basedOn w:val="Normal"/>
    <w:next w:val="Normal"/>
    <w:qFormat/>
    <w:pPr>
      <w:keepNext/>
      <w:keepLines/>
      <w:spacing w:before="200" w:after="0"/>
      <w:outlineLvl w:val="4"/>
    </w:pPr>
    <w:rPr>
      <w:b/>
      <w:color w:val="444444"/>
      <w:sz w:val="28"/>
    </w:rPr>
  </w:style>
  <w:style w:type="paragraph" w:styleId="Balk6">
    <w:name w:val="heading 6"/>
    <w:basedOn w:val="Normal"/>
    <w:next w:val="Normal"/>
    <w:qFormat/>
    <w:pPr>
      <w:keepNext/>
      <w:keepLines/>
      <w:spacing w:before="200" w:after="0"/>
      <w:outlineLvl w:val="5"/>
    </w:pPr>
    <w:rPr>
      <w:i/>
      <w:color w:val="232323"/>
      <w:sz w:val="28"/>
    </w:rPr>
  </w:style>
  <w:style w:type="paragraph" w:styleId="Balk7">
    <w:name w:val="heading 7"/>
    <w:basedOn w:val="Normal"/>
    <w:next w:val="Normal"/>
    <w:qFormat/>
    <w:pPr>
      <w:keepNext/>
      <w:keepLines/>
      <w:spacing w:before="200" w:after="0"/>
      <w:outlineLvl w:val="6"/>
    </w:pPr>
    <w:rPr>
      <w:b/>
      <w:color w:val="606060"/>
      <w:sz w:val="24"/>
    </w:rPr>
  </w:style>
  <w:style w:type="paragraph" w:styleId="Balk8">
    <w:name w:val="heading 8"/>
    <w:basedOn w:val="Normal"/>
    <w:next w:val="Normal"/>
    <w:qFormat/>
    <w:pPr>
      <w:keepNext/>
      <w:keepLines/>
      <w:spacing w:before="200" w:after="0"/>
      <w:outlineLvl w:val="7"/>
    </w:pPr>
    <w:rPr>
      <w:color w:val="444444"/>
      <w:sz w:val="24"/>
    </w:rPr>
  </w:style>
  <w:style w:type="paragraph" w:styleId="Balk9">
    <w:name w:val="heading 9"/>
    <w:basedOn w:val="Normal"/>
    <w:next w:val="Normal"/>
    <w:qFormat/>
    <w:pPr>
      <w:keepNext/>
      <w:keepLines/>
      <w:spacing w:before="200" w:after="0"/>
      <w:outlineLvl w:val="8"/>
    </w:pPr>
    <w:rPr>
      <w:i/>
      <w:color w:val="444444"/>
      <w:sz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pPr>
      <w:spacing w:after="0" w:line="240" w:lineRule="auto"/>
    </w:pPr>
  </w:style>
  <w:style w:type="paragraph" w:styleId="KonuBal">
    <w:name w:val="Title"/>
    <w:basedOn w:val="Normal"/>
    <w:next w:val="Normal"/>
    <w:qFormat/>
    <w:pPr>
      <w:pBdr>
        <w:bottom w:val="single" w:sz="24" w:space="0" w:color="000000"/>
      </w:pBdr>
      <w:spacing w:before="300" w:after="80" w:line="240" w:lineRule="auto"/>
    </w:pPr>
    <w:rPr>
      <w:b/>
      <w:sz w:val="72"/>
    </w:rPr>
  </w:style>
  <w:style w:type="paragraph" w:styleId="Altyaz">
    <w:name w:val="Subtitle"/>
    <w:basedOn w:val="Normal"/>
    <w:next w:val="Normal"/>
    <w:qFormat/>
    <w:pPr>
      <w:spacing w:line="240" w:lineRule="auto"/>
    </w:pPr>
    <w:rPr>
      <w:i/>
      <w:color w:val="444444"/>
      <w:sz w:val="52"/>
    </w:rPr>
  </w:style>
  <w:style w:type="paragraph" w:styleId="Alnt">
    <w:name w:val="Quote"/>
    <w:basedOn w:val="Normal"/>
    <w:next w:val="Normal"/>
    <w:qFormat/>
    <w:pPr>
      <w:pBdr>
        <w:left w:val="single" w:sz="12" w:space="11" w:color="A6A6A6"/>
        <w:bottom w:val="single" w:sz="12" w:space="3" w:color="A6A6A6"/>
      </w:pBdr>
      <w:ind w:left="3402"/>
    </w:pPr>
    <w:rPr>
      <w:i/>
      <w:color w:val="373737"/>
      <w:sz w:val="18"/>
    </w:rPr>
  </w:style>
  <w:style w:type="paragraph" w:styleId="GlAlnt">
    <w:name w:val="Intense Quote"/>
    <w:basedOn w:val="Normal"/>
    <w:next w:val="Normal"/>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stBilgi">
    <w:name w:val="header"/>
    <w:basedOn w:val="Normal"/>
    <w:pPr>
      <w:tabs>
        <w:tab w:val="center" w:pos="7143"/>
        <w:tab w:val="right" w:pos="14287"/>
      </w:tabs>
      <w:spacing w:after="0" w:line="240" w:lineRule="auto"/>
    </w:pPr>
  </w:style>
  <w:style w:type="paragraph" w:styleId="AltBilgi">
    <w:name w:val="footer"/>
    <w:basedOn w:val="Normal"/>
    <w:pPr>
      <w:tabs>
        <w:tab w:val="center" w:pos="7143"/>
        <w:tab w:val="right" w:pos="14287"/>
      </w:tabs>
      <w:spacing w:after="0" w:line="240" w:lineRule="auto"/>
    </w:pPr>
  </w:style>
  <w:style w:type="paragraph" w:styleId="ListeParagraf">
    <w:name w:val="List Paragraph"/>
    <w:basedOn w:val="Normal"/>
    <w:qFormat/>
    <w:pPr>
      <w:ind w:left="720"/>
      <w:contextualSpacing/>
    </w:pPr>
  </w:style>
  <w:style w:type="paragraph" w:styleId="BalonMetni">
    <w:name w:val="Balloon Text"/>
    <w:basedOn w:val="Normal"/>
    <w:link w:val="BalonMetniChar"/>
    <w:semiHidden/>
    <w:pPr>
      <w:spacing w:after="0" w:line="240" w:lineRule="auto"/>
    </w:pPr>
    <w:rPr>
      <w:rFonts w:ascii="Tahoma" w:hAnsi="Tahoma"/>
      <w:sz w:val="16"/>
    </w:rPr>
  </w:style>
  <w:style w:type="character" w:styleId="SatrNumaras">
    <w:name w:val="line number"/>
    <w:basedOn w:val="VarsaylanParagrafYazTipi"/>
    <w:semiHidden/>
  </w:style>
  <w:style w:type="character" w:styleId="Kpr">
    <w:name w:val="Hyperlink"/>
    <w:rPr>
      <w:color w:val="0563C1"/>
      <w:u w:val="single"/>
    </w:rPr>
  </w:style>
  <w:style w:type="character" w:customStyle="1" w:styleId="BalonMetniChar">
    <w:name w:val="Balon Metni Char"/>
    <w:basedOn w:val="VarsaylanParagrafYazTipi"/>
    <w:link w:val="BalonMetni"/>
    <w:semiHidden/>
    <w:rPr>
      <w:rFonts w:ascii="Tahoma" w:hAnsi="Tahoma"/>
      <w:sz w:val="16"/>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Tablo"/>
    <w:pPr>
      <w:spacing w:after="0" w:line="240" w:lineRule="auto"/>
    </w:pPr>
    <w:tblPr>
      <w:tblStyleRowBandSize w:val="1"/>
      <w:tblStyleColBandSize w:val="1"/>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NormalTablo"/>
    <w:pPr>
      <w:spacing w:after="0" w:line="240" w:lineRule="auto"/>
    </w:pPr>
    <w:tblPr>
      <w:tblStyleRowBandSize w:val="1"/>
      <w:tblStyleColBandSize w:val="1"/>
      <w:tblCellMar>
        <w:left w:w="1" w:type="dxa"/>
        <w:right w:w="1"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NormalTablo"/>
    <w:pPr>
      <w:spacing w:after="0" w:line="240" w:lineRule="auto"/>
    </w:pPr>
    <w:tblPr>
      <w:tblStyleRowBandSize w:val="1"/>
      <w:tblStyleColBandSize w:val="1"/>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NormalTablo"/>
    <w:pPr>
      <w:spacing w:after="0" w:line="240" w:lineRule="auto"/>
    </w:pPr>
    <w:tblPr>
      <w:tblStyleRowBandSize w:val="1"/>
      <w:tblStyleColBandSize w:val="1"/>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NormalTablo"/>
    <w:pPr>
      <w:spacing w:after="0" w:line="240" w:lineRule="auto"/>
    </w:pPr>
    <w:tblPr>
      <w:tblStyleRowBandSize w:val="1"/>
      <w:tblStyleColBandSize w:val="1"/>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NormalTablo"/>
    <w:pPr>
      <w:spacing w:after="0" w:line="240" w:lineRule="auto"/>
    </w:pPr>
    <w:tblPr>
      <w:tblStyleRowBandSize w:val="1"/>
      <w:tblStyleColBandSize w:val="1"/>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NormalTablo"/>
    <w:pPr>
      <w:spacing w:after="0" w:line="240" w:lineRule="auto"/>
    </w:pPr>
    <w:tblPr>
      <w:tblStyleRowBandSize w:val="1"/>
      <w:tblStyleColBandSize w:val="1"/>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NormalTablo"/>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 w:type="dxa"/>
        <w:right w:w="1"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NormalTablo"/>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1" w:type="dxa"/>
        <w:right w:w="1"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NormalTablo"/>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1" w:type="dxa"/>
        <w:right w:w="1"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NormalTablo"/>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 w:type="dxa"/>
        <w:right w:w="1"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NormalTablo"/>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1" w:type="dxa"/>
        <w:right w:w="1"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NormalTablo"/>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1" w:type="dxa"/>
        <w:right w:w="1"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NormalTablo"/>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1" w:type="dxa"/>
        <w:right w:w="1"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NormalTablo"/>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 w:type="dxa"/>
        <w:right w:w="1"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NormalTablo"/>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1" w:type="dxa"/>
        <w:right w:w="1"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NormalTablo"/>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1" w:type="dxa"/>
        <w:right w:w="1"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NormalTablo"/>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1" w:type="dxa"/>
        <w:right w:w="1"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NormalTablo"/>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1" w:type="dxa"/>
        <w:right w:w="1"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NormalTablo"/>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1" w:type="dxa"/>
        <w:right w:w="1"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NormalTablo"/>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1" w:type="dxa"/>
        <w:right w:w="1"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479</Words>
  <Characters>2735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FULYA ZEMLİKLİ</cp:lastModifiedBy>
  <cp:revision>14</cp:revision>
  <cp:lastPrinted>2016-09-02T13:22:00Z</cp:lastPrinted>
  <dcterms:created xsi:type="dcterms:W3CDTF">2022-04-19T08:36:00Z</dcterms:created>
  <dcterms:modified xsi:type="dcterms:W3CDTF">2022-07-04T07:14:00Z</dcterms:modified>
</cp:coreProperties>
</file>