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B45BB7">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contextualSpacing/>
              <w:rPr>
                <w:sz w:val="28"/>
              </w:rPr>
            </w:pPr>
            <w:r>
              <w:rPr>
                <w:b/>
              </w:rPr>
              <w:t>A- İŞE İLİŞKİN BİLGİLER</w:t>
            </w:r>
          </w:p>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shd w:val="clear" w:color="auto" w:fill="FFFFFF"/>
              <w:tabs>
                <w:tab w:val="left" w:pos="2025"/>
              </w:tabs>
              <w:rPr>
                <w:sz w:val="28"/>
              </w:rPr>
            </w:pPr>
            <w:r>
              <w:rPr>
                <w:b/>
              </w:rPr>
              <w:t>İşin Kısa Tanımı</w:t>
            </w:r>
          </w:p>
        </w:tc>
      </w:tr>
      <w:tr w:rsidR="00B45BB7">
        <w:trPr>
          <w:trHeight w:val="768"/>
        </w:trPr>
        <w:tc>
          <w:tcPr>
            <w:tcW w:w="9133" w:type="dxa"/>
            <w:tcBorders>
              <w:top w:val="single" w:sz="6" w:space="0" w:color="000000"/>
              <w:left w:val="single" w:sz="6" w:space="0" w:color="000000"/>
              <w:bottom w:val="single" w:sz="6" w:space="0" w:color="000000"/>
              <w:right w:val="single" w:sz="6" w:space="0" w:color="000000"/>
            </w:tcBorders>
          </w:tcPr>
          <w:p w:rsidR="00B45BB7" w:rsidRDefault="004B5897">
            <w:pPr>
              <w:jc w:val="both"/>
            </w:pPr>
            <w:r>
              <w:t>Taşınırları teslim alan, sorumluluğundaki ambarlarda muhafaza eden, kullanıcılarına ve kullanım yerlerine teslim eden, Taşınır Mal Yönetmeliğinde belirtilen esas ve usullere göre kayıtları tutan, bunlara ilişkin belge ve cetvelleri düzenleyen ve bu hususlarda hesap verme sorumluluğu çerçevesinde taşınır kontrol yetkilisi ve harcama yetkilisine karşı sorumlu olan görevlileri ifade eder.</w:t>
            </w:r>
          </w:p>
          <w:p w:rsidR="00B45BB7" w:rsidRDefault="00B45BB7"/>
        </w:tc>
      </w:tr>
      <w:tr w:rsidR="00B45BB7">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tabs>
                <w:tab w:val="left" w:pos="5610"/>
              </w:tabs>
              <w:rPr>
                <w:sz w:val="28"/>
              </w:rPr>
            </w:pPr>
            <w:r>
              <w:rPr>
                <w:b/>
              </w:rPr>
              <w:t>Görev ve Sorumluluklar</w:t>
            </w:r>
          </w:p>
        </w:tc>
      </w:tr>
      <w:tr w:rsidR="00B45BB7">
        <w:trPr>
          <w:trHeight w:val="753"/>
        </w:trPr>
        <w:tc>
          <w:tcPr>
            <w:tcW w:w="9133" w:type="dxa"/>
            <w:tcBorders>
              <w:top w:val="single" w:sz="6" w:space="0" w:color="000000"/>
              <w:left w:val="single" w:sz="6" w:space="0" w:color="000000"/>
              <w:bottom w:val="single" w:sz="6" w:space="0" w:color="000000"/>
              <w:right w:val="single" w:sz="6" w:space="0" w:color="000000"/>
            </w:tcBorders>
          </w:tcPr>
          <w:p w:rsidR="001B1AF2" w:rsidRPr="00C15FE3" w:rsidRDefault="001B1AF2" w:rsidP="00C15FE3">
            <w:pPr>
              <w:jc w:val="both"/>
              <w:rPr>
                <w:rFonts w:asciiTheme="minorHAnsi" w:hAnsiTheme="minorHAnsi" w:cstheme="minorHAnsi"/>
                <w:b/>
                <w:color w:val="FF0000"/>
                <w:szCs w:val="22"/>
              </w:rPr>
            </w:pPr>
            <w:r w:rsidRPr="00062545">
              <w:rPr>
                <w:rFonts w:asciiTheme="minorHAnsi" w:hAnsiTheme="minorHAnsi" w:cstheme="minorHAnsi"/>
                <w:b/>
                <w:color w:val="FF0000"/>
                <w:szCs w:val="22"/>
              </w:rPr>
              <w:t>Genel Görev ve Sorumluluklar</w:t>
            </w:r>
            <w:bookmarkStart w:id="0" w:name="_GoBack"/>
            <w:bookmarkEnd w:id="0"/>
          </w:p>
          <w:p w:rsidR="000A5CFD" w:rsidRDefault="000A5CFD">
            <w:pPr>
              <w:numPr>
                <w:ilvl w:val="0"/>
                <w:numId w:val="3"/>
              </w:numPr>
              <w:jc w:val="both"/>
            </w:pPr>
            <w:r>
              <w:t>Birime ait taşınır malların kaydı, muhafazası ve kullanımı görevlerini yürütür.</w:t>
            </w:r>
          </w:p>
          <w:p w:rsidR="000A5CFD" w:rsidRDefault="000A5CFD">
            <w:pPr>
              <w:numPr>
                <w:ilvl w:val="0"/>
                <w:numId w:val="3"/>
              </w:numPr>
              <w:jc w:val="both"/>
            </w:pPr>
            <w:r>
              <w:t xml:space="preserve">Taşınırların giriş ve çıkışına ilişkin kayıtları tutar, bunlara ilişkin belge ve cetvelleri düzenler ve taşınır yönetim hesap cetvellerini </w:t>
            </w:r>
            <w:proofErr w:type="gramStart"/>
            <w:r>
              <w:t>konsolide</w:t>
            </w:r>
            <w:proofErr w:type="gramEnd"/>
            <w:r>
              <w:t xml:space="preserve"> görevlisine gönderir.</w:t>
            </w:r>
          </w:p>
          <w:p w:rsidR="000A5CFD" w:rsidRDefault="000A5CFD">
            <w:pPr>
              <w:numPr>
                <w:ilvl w:val="0"/>
                <w:numId w:val="3"/>
              </w:numPr>
              <w:jc w:val="both"/>
            </w:pPr>
            <w:r>
              <w:t>Harcama birimince edinilen taşınırlardan muayene ve kabulü yapılanları cins ve niteliklerine göre sayarak teslim alır, doğrudan tüketilmeyen ve kullanıma verilmeyen taşınırları sorumluluğundaki ambarlarda muhafaza eder.</w:t>
            </w:r>
          </w:p>
          <w:p w:rsidR="000A5CFD" w:rsidRDefault="000A5CFD" w:rsidP="000A5CFD">
            <w:pPr>
              <w:numPr>
                <w:ilvl w:val="0"/>
                <w:numId w:val="3"/>
              </w:numPr>
              <w:jc w:val="both"/>
            </w:pPr>
            <w:r>
              <w:t>Muayene ve kabul işlemi hemen yapılamayan taşınırları kontrol ederek teslim alır, bunların kesin kabulü yapılmadan kullanıma verilmesini önler.</w:t>
            </w:r>
          </w:p>
          <w:p w:rsidR="000A5CFD" w:rsidRDefault="000A5CFD" w:rsidP="000A5CFD">
            <w:pPr>
              <w:numPr>
                <w:ilvl w:val="0"/>
                <w:numId w:val="3"/>
              </w:numPr>
              <w:jc w:val="both"/>
            </w:pPr>
            <w:r>
              <w:t>Tüketime veya kullanıma verilmesi harcama yetkilisi tarafından uygun görülen taşınırları ilgililere teslim eder.</w:t>
            </w:r>
          </w:p>
          <w:p w:rsidR="000A5CFD" w:rsidRDefault="000A5CFD" w:rsidP="000A5CFD">
            <w:pPr>
              <w:numPr>
                <w:ilvl w:val="0"/>
                <w:numId w:val="3"/>
              </w:numPr>
              <w:jc w:val="both"/>
            </w:pPr>
            <w:r>
              <w:t>Taşınırların yangına, ıslanmaya, bozulmaya, çalınmaya ve benzeri tehlikelere karşı korunması için gerekli tedbirleri alır ve alınmasını sağlar.</w:t>
            </w:r>
          </w:p>
          <w:p w:rsidR="000A5CFD" w:rsidRDefault="000A5CFD" w:rsidP="000A5CFD">
            <w:pPr>
              <w:numPr>
                <w:ilvl w:val="0"/>
                <w:numId w:val="3"/>
              </w:numPr>
              <w:jc w:val="both"/>
            </w:pPr>
            <w:r>
              <w:t>Ambarda çalınma veya olağanüstü nedenlerden dolayı meydana gelen azalmaları harcama yetkilisine bildirir.</w:t>
            </w:r>
          </w:p>
          <w:p w:rsidR="000A5CFD" w:rsidRDefault="000A5CFD" w:rsidP="000A5CFD">
            <w:pPr>
              <w:numPr>
                <w:ilvl w:val="0"/>
                <w:numId w:val="3"/>
              </w:numPr>
              <w:jc w:val="both"/>
            </w:pPr>
            <w:r>
              <w:t>Ambar sayımını ve stok kontrolünü yapar, harcama yetkilisi tarafından belirlenen asgarî stok seviyesinin altına düşen taşınırları harcama yetkilisine bildirir.</w:t>
            </w:r>
          </w:p>
          <w:p w:rsidR="000A5CFD" w:rsidRDefault="000A5CFD" w:rsidP="000A5CFD">
            <w:pPr>
              <w:numPr>
                <w:ilvl w:val="0"/>
                <w:numId w:val="3"/>
              </w:numPr>
              <w:jc w:val="both"/>
            </w:pPr>
            <w:r>
              <w:t>Kullanımda bulunan dayanıklı taşınırları bulundukları yerde kontrol eder, sayımlarını yapar ve yaptırır.</w:t>
            </w:r>
          </w:p>
          <w:p w:rsidR="000A5CFD" w:rsidRDefault="000A5CFD" w:rsidP="000A5CFD">
            <w:pPr>
              <w:numPr>
                <w:ilvl w:val="0"/>
                <w:numId w:val="3"/>
              </w:numPr>
              <w:jc w:val="both"/>
            </w:pPr>
            <w:r>
              <w:t>Harcama biriminin malzeme ihtiyaç planlamasının yapılmasına yardımcı olur.</w:t>
            </w:r>
          </w:p>
          <w:p w:rsidR="000A5CFD" w:rsidRDefault="000A5CFD" w:rsidP="000A5CFD">
            <w:pPr>
              <w:numPr>
                <w:ilvl w:val="0"/>
                <w:numId w:val="3"/>
              </w:numPr>
              <w:jc w:val="both"/>
            </w:pPr>
            <w:r>
              <w:t>Taşınır sisteminde kayıtlı bulunan demirbaş malzemelerinin barkotlama işlemini yapar.</w:t>
            </w:r>
          </w:p>
          <w:p w:rsidR="000A5CFD" w:rsidRDefault="000A5CFD" w:rsidP="005365F6">
            <w:pPr>
              <w:numPr>
                <w:ilvl w:val="0"/>
                <w:numId w:val="3"/>
              </w:numPr>
              <w:jc w:val="both"/>
            </w:pPr>
            <w:r>
              <w:t xml:space="preserve"> Taşınır işlem fişi, zimmet fişi, sayım tutanağı vb. evrakların düzenlenmesini, kayıt altına alınmasını ve arşivlenmesini sağlar.</w:t>
            </w:r>
          </w:p>
          <w:p w:rsidR="000A5CFD" w:rsidRDefault="000A5CFD" w:rsidP="005365F6">
            <w:pPr>
              <w:numPr>
                <w:ilvl w:val="0"/>
                <w:numId w:val="3"/>
              </w:numPr>
              <w:jc w:val="both"/>
            </w:pPr>
            <w:r>
              <w:t xml:space="preserve">Kullanımdan düşen demirbaş malzemelerinin tespitini yapar. </w:t>
            </w:r>
          </w:p>
          <w:p w:rsidR="000A5CFD" w:rsidRDefault="000A5CFD" w:rsidP="007C4F59">
            <w:pPr>
              <w:numPr>
                <w:ilvl w:val="0"/>
                <w:numId w:val="3"/>
              </w:numPr>
              <w:jc w:val="both"/>
            </w:pPr>
            <w:r>
              <w:t>Tüketim ve demirbaş malzemelerinin alım evraklarında maddi hatanın bulunmamasını sağlar.</w:t>
            </w:r>
          </w:p>
          <w:p w:rsidR="000A5CFD" w:rsidRDefault="000A5CFD" w:rsidP="005365F6">
            <w:pPr>
              <w:numPr>
                <w:ilvl w:val="0"/>
                <w:numId w:val="3"/>
              </w:numPr>
              <w:jc w:val="both"/>
            </w:pPr>
            <w:r>
              <w:t xml:space="preserve">Taşınır yönetmeliğine uygun şekilde iş ve işlemlerin yürütülmesini sağlar. </w:t>
            </w:r>
          </w:p>
          <w:p w:rsidR="000A5CFD" w:rsidRDefault="000A5CFD" w:rsidP="005365F6">
            <w:pPr>
              <w:numPr>
                <w:ilvl w:val="0"/>
                <w:numId w:val="3"/>
              </w:numPr>
              <w:jc w:val="both"/>
            </w:pPr>
            <w:r>
              <w:t>Kendisine verilen görevleri zamanında, eksiksiz, işgücü, zaman ve malzeme tasarrufu sağlayacak şekilde yerine getirir.</w:t>
            </w:r>
          </w:p>
          <w:p w:rsidR="000A5CFD" w:rsidRDefault="000A5CFD" w:rsidP="005365F6">
            <w:pPr>
              <w:numPr>
                <w:ilvl w:val="0"/>
                <w:numId w:val="3"/>
              </w:numPr>
              <w:jc w:val="both"/>
            </w:pPr>
            <w:r>
              <w:t>Kendi sorumluluğunda olan büro makineleri ve demirbaşların her türlü hasara karşı korunması için gerekli tedbirleri alır. Sorumluluğundaki mevcut araç, gereç ve her türlü malzemenin yerinde ve ekonomik kullanılmasını sağlar.</w:t>
            </w:r>
          </w:p>
          <w:p w:rsidR="001B1AF2" w:rsidRDefault="001B1AF2" w:rsidP="001B1AF2">
            <w:r>
              <w:rPr>
                <w:rFonts w:asciiTheme="minorHAnsi" w:hAnsiTheme="minorHAnsi" w:cstheme="minorHAnsi"/>
                <w:b/>
                <w:color w:val="FF0000"/>
                <w:szCs w:val="22"/>
              </w:rPr>
              <w:t>Birime Özel Görev ve Sorumluluklar</w:t>
            </w:r>
          </w:p>
          <w:p w:rsidR="001B1AF2" w:rsidRDefault="001B1AF2" w:rsidP="001B1AF2">
            <w:pPr>
              <w:ind w:left="720"/>
              <w:jc w:val="both"/>
            </w:pPr>
          </w:p>
          <w:p w:rsidR="00B45BB7" w:rsidRDefault="00B45BB7"/>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sz w:val="28"/>
              </w:rPr>
            </w:pPr>
            <w:r>
              <w:rPr>
                <w:b/>
              </w:rPr>
              <w:lastRenderedPageBreak/>
              <w:t>Yetkiler</w:t>
            </w:r>
          </w:p>
        </w:tc>
      </w:tr>
      <w:tr w:rsidR="00B45BB7">
        <w:trPr>
          <w:trHeight w:val="753"/>
        </w:trPr>
        <w:tc>
          <w:tcPr>
            <w:tcW w:w="9133" w:type="dxa"/>
            <w:tcBorders>
              <w:top w:val="single" w:sz="6" w:space="0" w:color="000000"/>
              <w:left w:val="single" w:sz="6" w:space="0" w:color="000000"/>
              <w:bottom w:val="single" w:sz="6" w:space="0" w:color="000000"/>
              <w:right w:val="single" w:sz="6" w:space="0" w:color="000000"/>
            </w:tcBorders>
          </w:tcPr>
          <w:p w:rsidR="00B45BB7" w:rsidRDefault="00B45BB7"/>
          <w:p w:rsidR="00B45BB7" w:rsidRDefault="00B45BB7"/>
          <w:p w:rsidR="00B45BB7" w:rsidRDefault="00B45BB7"/>
          <w:p w:rsidR="00B45BB7" w:rsidRDefault="00B45BB7"/>
          <w:p w:rsidR="00B45BB7" w:rsidRDefault="00B45BB7"/>
          <w:p w:rsidR="00B45BB7" w:rsidRDefault="00B45BB7"/>
          <w:p w:rsidR="00B45BB7" w:rsidRDefault="00B45BB7"/>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sz w:val="28"/>
              </w:rPr>
            </w:pPr>
            <w:r>
              <w:rPr>
                <w:b/>
              </w:rPr>
              <w:t>İlgili Mevzuat</w:t>
            </w:r>
          </w:p>
        </w:tc>
      </w:tr>
      <w:tr w:rsidR="00B45BB7">
        <w:trPr>
          <w:trHeight w:val="894"/>
        </w:trPr>
        <w:tc>
          <w:tcPr>
            <w:tcW w:w="9133" w:type="dxa"/>
            <w:tcBorders>
              <w:top w:val="single" w:sz="6" w:space="0" w:color="000000"/>
              <w:left w:val="single" w:sz="6" w:space="0" w:color="000000"/>
              <w:bottom w:val="single" w:sz="6" w:space="0" w:color="000000"/>
              <w:right w:val="single" w:sz="6" w:space="0" w:color="000000"/>
            </w:tcBorders>
          </w:tcPr>
          <w:p w:rsidR="00B45BB7" w:rsidRDefault="004B5897">
            <w:pPr>
              <w:numPr>
                <w:ilvl w:val="0"/>
                <w:numId w:val="4"/>
              </w:numPr>
            </w:pPr>
            <w:r>
              <w:t>657 Sayılı Devlet Memurları Kanunu</w:t>
            </w:r>
          </w:p>
          <w:p w:rsidR="00B45BB7" w:rsidRDefault="004B5897">
            <w:pPr>
              <w:numPr>
                <w:ilvl w:val="0"/>
                <w:numId w:val="4"/>
              </w:numPr>
            </w:pPr>
            <w:r>
              <w:t xml:space="preserve">5018 Sayılı Kamu Mali Yönetim ve Kontrol Kanunu, </w:t>
            </w:r>
          </w:p>
          <w:p w:rsidR="00B45BB7" w:rsidRDefault="004B5897">
            <w:pPr>
              <w:numPr>
                <w:ilvl w:val="0"/>
                <w:numId w:val="4"/>
              </w:numPr>
            </w:pPr>
            <w:r>
              <w:t>Taşınır Mal Yönetmeliği</w:t>
            </w:r>
          </w:p>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rPr>
                <w:sz w:val="28"/>
              </w:rPr>
            </w:pPr>
            <w:r>
              <w:rPr>
                <w:b/>
              </w:rPr>
              <w:t>B- ATANACAKLARDA ARANACAK NİTELİKLER</w:t>
            </w:r>
          </w:p>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sz w:val="28"/>
              </w:rPr>
            </w:pPr>
            <w:r>
              <w:rPr>
                <w:b/>
              </w:rPr>
              <w:t>Gerekli Öğrenim Düzeyi Ve Bölümü</w:t>
            </w:r>
          </w:p>
        </w:tc>
      </w:tr>
      <w:tr w:rsidR="00B45BB7">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B45BB7"/>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sz w:val="28"/>
              </w:rPr>
            </w:pPr>
            <w:r>
              <w:rPr>
                <w:b/>
              </w:rPr>
              <w:t>Gerekli Mesleki Eğitim, Sertifikalar ve Diğer Eğitimler</w:t>
            </w:r>
          </w:p>
        </w:tc>
      </w:tr>
      <w:tr w:rsidR="00B45BB7">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B45BB7"/>
          <w:p w:rsidR="00B45BB7" w:rsidRDefault="00B45BB7"/>
          <w:p w:rsidR="00B45BB7" w:rsidRDefault="00B45BB7"/>
          <w:p w:rsidR="00B45BB7" w:rsidRDefault="00B45BB7"/>
          <w:p w:rsidR="00B45BB7" w:rsidRDefault="00B45BB7"/>
          <w:p w:rsidR="00B45BB7" w:rsidRDefault="00B45BB7"/>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sz w:val="28"/>
              </w:rPr>
            </w:pPr>
            <w:r>
              <w:rPr>
                <w:b/>
              </w:rPr>
              <w:t>Gerekli Yabancı Dil Bilgisi ve Düzeyi</w:t>
            </w:r>
          </w:p>
        </w:tc>
      </w:tr>
      <w:tr w:rsidR="00B45BB7">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B45BB7"/>
          <w:p w:rsidR="00B45BB7" w:rsidRDefault="00B45BB7"/>
          <w:p w:rsidR="00B45BB7" w:rsidRDefault="00B45BB7"/>
          <w:p w:rsidR="00B45BB7" w:rsidRDefault="00B45BB7"/>
          <w:p w:rsidR="00B45BB7" w:rsidRDefault="00B45BB7"/>
          <w:p w:rsidR="00B45BB7" w:rsidRDefault="00B45BB7"/>
          <w:p w:rsidR="00B45BB7" w:rsidRDefault="00B45BB7"/>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sz w:val="28"/>
              </w:rPr>
            </w:pPr>
            <w:r>
              <w:rPr>
                <w:b/>
              </w:rPr>
              <w:t>Gerekli Hizmet Süresi</w:t>
            </w:r>
          </w:p>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B45BB7"/>
          <w:p w:rsidR="00B45BB7" w:rsidRDefault="00B45BB7"/>
          <w:p w:rsidR="00B45BB7" w:rsidRDefault="00B45BB7"/>
          <w:p w:rsidR="00B45BB7" w:rsidRDefault="00B45BB7"/>
          <w:p w:rsidR="00B45BB7" w:rsidRDefault="00B45BB7"/>
          <w:p w:rsidR="00B45BB7" w:rsidRDefault="00B45BB7"/>
          <w:p w:rsidR="00B45BB7" w:rsidRDefault="00B45BB7"/>
        </w:tc>
      </w:tr>
      <w:tr w:rsidR="00B45BB7">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rPr>
                <w:b/>
              </w:rPr>
            </w:pPr>
            <w:r>
              <w:rPr>
                <w:b/>
              </w:rPr>
              <w:t>Yetkinlikler</w:t>
            </w:r>
          </w:p>
        </w:tc>
      </w:tr>
      <w:tr w:rsidR="00B45BB7">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B45BB7" w:rsidRDefault="004B5897">
            <w:pPr>
              <w:numPr>
                <w:ilvl w:val="0"/>
                <w:numId w:val="2"/>
              </w:numPr>
              <w:jc w:val="both"/>
              <w:rPr>
                <w:color w:val="auto"/>
              </w:rPr>
            </w:pPr>
            <w:r>
              <w:rPr>
                <w:color w:val="auto"/>
              </w:rPr>
              <w:t>657 Sayılı Devlet Memurları Kanununda belirtilen niteliklere sahip olmak,</w:t>
            </w:r>
          </w:p>
          <w:p w:rsidR="00B45BB7" w:rsidRDefault="004B5897">
            <w:pPr>
              <w:numPr>
                <w:ilvl w:val="0"/>
                <w:numId w:val="2"/>
              </w:numPr>
              <w:jc w:val="both"/>
              <w:rPr>
                <w:color w:val="auto"/>
              </w:rPr>
            </w:pPr>
            <w:r>
              <w:rPr>
                <w:color w:val="auto"/>
                <w:shd w:val="clear" w:color="auto" w:fill="FFFFFF"/>
              </w:rPr>
              <w:t>Taşınır kayıt yetkilileri, harcama yetkililerince, memuriyet veya çalışma unvanına bağlı kalmaksızın, taşınır kayıt ve işlemlerini bu Yönetmelikte belirtilen usule uygun şekilde yapabilecek bilgi ve niteliklere sahip personel arasından görevlendirilmek</w:t>
            </w:r>
          </w:p>
        </w:tc>
      </w:tr>
    </w:tbl>
    <w:p w:rsidR="00B45BB7" w:rsidRDefault="00B45BB7"/>
    <w:tbl>
      <w:tblPr>
        <w:tblStyle w:val="TabloKlavuzu"/>
        <w:tblW w:w="5000" w:type="pct"/>
        <w:tblLook w:val="04A0" w:firstRow="1" w:lastRow="0" w:firstColumn="1" w:lastColumn="0" w:noHBand="0" w:noVBand="1"/>
      </w:tblPr>
      <w:tblGrid>
        <w:gridCol w:w="3064"/>
        <w:gridCol w:w="3074"/>
        <w:gridCol w:w="2925"/>
      </w:tblGrid>
      <w:tr w:rsidR="00B45BB7">
        <w:trPr>
          <w:trHeight w:val="648"/>
        </w:trPr>
        <w:tc>
          <w:tcPr>
            <w:tcW w:w="9133" w:type="dxa"/>
            <w:vAlign w:val="center"/>
          </w:tcPr>
          <w:p w:rsidR="00B45BB7" w:rsidRDefault="004B5897">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B45BB7" w:rsidRDefault="004B5897">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B45BB7" w:rsidRDefault="004B5897">
            <w:pPr>
              <w:pBdr>
                <w:top w:val="none" w:sz="0" w:space="0" w:color="auto"/>
                <w:left w:val="none" w:sz="0" w:space="0" w:color="auto"/>
                <w:bottom w:val="none" w:sz="0" w:space="0" w:color="auto"/>
                <w:right w:val="none" w:sz="0" w:space="0" w:color="auto"/>
              </w:pBdr>
              <w:jc w:val="center"/>
              <w:rPr>
                <w:b/>
              </w:rPr>
            </w:pPr>
            <w:r>
              <w:rPr>
                <w:b/>
              </w:rPr>
              <w:t>Tebellüğ Eden</w:t>
            </w:r>
          </w:p>
        </w:tc>
      </w:tr>
      <w:tr w:rsidR="00B45BB7">
        <w:trPr>
          <w:trHeight w:val="828"/>
        </w:trPr>
        <w:tc>
          <w:tcPr>
            <w:tcW w:w="9133" w:type="dxa"/>
          </w:tcPr>
          <w:p w:rsidR="00B45BB7" w:rsidRDefault="00B45BB7"/>
        </w:tc>
        <w:tc>
          <w:tcPr>
            <w:tcW w:w="9133" w:type="dxa"/>
          </w:tcPr>
          <w:p w:rsidR="00B45BB7" w:rsidRDefault="00B45BB7"/>
        </w:tc>
        <w:tc>
          <w:tcPr>
            <w:tcW w:w="9133" w:type="dxa"/>
          </w:tcPr>
          <w:p w:rsidR="00B45BB7" w:rsidRDefault="00B45BB7"/>
        </w:tc>
      </w:tr>
      <w:tr w:rsidR="00B45BB7">
        <w:trPr>
          <w:trHeight w:val="414"/>
        </w:trPr>
        <w:tc>
          <w:tcPr>
            <w:tcW w:w="9133" w:type="dxa"/>
            <w:vAlign w:val="center"/>
          </w:tcPr>
          <w:p w:rsidR="00B45BB7" w:rsidRDefault="004B5897">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B45BB7" w:rsidRDefault="004B5897">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B45BB7" w:rsidRDefault="004B5897">
            <w:pPr>
              <w:pBdr>
                <w:top w:val="none" w:sz="0" w:space="0" w:color="auto"/>
                <w:left w:val="none" w:sz="0" w:space="0" w:color="auto"/>
                <w:bottom w:val="none" w:sz="0" w:space="0" w:color="auto"/>
                <w:right w:val="none" w:sz="0" w:space="0" w:color="auto"/>
              </w:pBdr>
              <w:rPr>
                <w:b/>
              </w:rPr>
            </w:pPr>
            <w:r>
              <w:rPr>
                <w:b/>
              </w:rPr>
              <w:t>Tarih:</w:t>
            </w:r>
          </w:p>
        </w:tc>
      </w:tr>
    </w:tbl>
    <w:p w:rsidR="00B45BB7" w:rsidRDefault="00B45BB7"/>
    <w:sectPr w:rsidR="00B45BB7">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95" w:rsidRDefault="00095A95">
      <w:pPr>
        <w:spacing w:after="0" w:line="240" w:lineRule="auto"/>
      </w:pPr>
      <w:r>
        <w:separator/>
      </w:r>
    </w:p>
  </w:endnote>
  <w:endnote w:type="continuationSeparator" w:id="0">
    <w:p w:rsidR="00095A95" w:rsidRDefault="0009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B7" w:rsidRDefault="004B5897">
    <w:pPr>
      <w:jc w:val="center"/>
    </w:pPr>
    <w:r>
      <w:fldChar w:fldCharType="begin"/>
    </w:r>
    <w:r>
      <w:instrText>NUMPAGES</w:instrText>
    </w:r>
    <w:r>
      <w:fldChar w:fldCharType="separate"/>
    </w:r>
    <w:r w:rsidR="00C15FE3">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95" w:rsidRDefault="00095A95">
      <w:pPr>
        <w:spacing w:after="0" w:line="240" w:lineRule="auto"/>
      </w:pPr>
      <w:r>
        <w:separator/>
      </w:r>
    </w:p>
  </w:footnote>
  <w:footnote w:type="continuationSeparator" w:id="0">
    <w:p w:rsidR="00095A95" w:rsidRDefault="00095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B7" w:rsidRDefault="00B45BB7">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B45BB7">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B45BB7" w:rsidRDefault="004B5897">
          <w:pPr>
            <w:keepLines/>
            <w:jc w:val="center"/>
            <w:rPr>
              <w:b/>
              <w:noProof/>
              <w:lang w:eastAsia="tr-TR"/>
            </w:rPr>
          </w:pPr>
          <w:r>
            <w:rPr>
              <w:b/>
              <w:noProof/>
            </w:rPr>
            <w:t>PERSONEL GÖREV TANIM FORMU</w:t>
          </w:r>
        </w:p>
      </w:tc>
    </w:tr>
    <w:tr w:rsidR="00B45BB7">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B45BB7" w:rsidRDefault="004B5897">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B45BB7" w:rsidRDefault="004B5897">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B45BB7">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B45BB7" w:rsidRDefault="00B45BB7">
          <w:pPr>
            <w:pStyle w:val="stBilgi"/>
            <w:keepLines/>
            <w:tabs>
              <w:tab w:val="center" w:pos="726"/>
            </w:tabs>
            <w:rPr>
              <w:b/>
            </w:rPr>
          </w:pPr>
        </w:p>
      </w:tc>
      <w:tc>
        <w:tcPr>
          <w:tcW w:w="4057" w:type="dxa"/>
          <w:vMerge/>
        </w:tcPr>
        <w:p w:rsidR="00B45BB7" w:rsidRDefault="00B45BB7">
          <w:pPr>
            <w:keepLines/>
            <w:tabs>
              <w:tab w:val="center" w:pos="726"/>
            </w:tabs>
            <w:rPr>
              <w:b/>
            </w:rPr>
          </w:pPr>
        </w:p>
      </w:tc>
    </w:tr>
    <w:tr w:rsidR="00B45BB7">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B45BB7" w:rsidRDefault="004B5897">
          <w:pPr>
            <w:keepLines/>
          </w:pPr>
          <w:r>
            <w:rPr>
              <w:b/>
            </w:rPr>
            <w:t>TAŞINIR KAYIT YETKİLİSİ</w:t>
          </w:r>
        </w:p>
      </w:tc>
      <w:tc>
        <w:tcPr>
          <w:tcW w:w="4057" w:type="dxa"/>
          <w:vMerge/>
        </w:tcPr>
        <w:p w:rsidR="00B45BB7" w:rsidRDefault="00B45BB7">
          <w:pPr>
            <w:keepLines/>
          </w:pPr>
        </w:p>
      </w:tc>
    </w:tr>
    <w:tr w:rsidR="00B45BB7">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B45BB7" w:rsidRDefault="00B45BB7">
          <w:pPr>
            <w:keepLines/>
            <w:rPr>
              <w:b/>
            </w:rPr>
          </w:pPr>
        </w:p>
      </w:tc>
      <w:tc>
        <w:tcPr>
          <w:tcW w:w="4057" w:type="dxa"/>
          <w:vMerge/>
        </w:tcPr>
        <w:p w:rsidR="00B45BB7" w:rsidRDefault="00B45BB7">
          <w:pPr>
            <w:keepLines/>
            <w:rPr>
              <w:b/>
            </w:rPr>
          </w:pPr>
        </w:p>
      </w:tc>
    </w:tr>
    <w:tr w:rsidR="00B45BB7">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B45BB7" w:rsidRDefault="00B45BB7">
          <w:pPr>
            <w:keepLines/>
            <w:rPr>
              <w:b/>
            </w:rPr>
          </w:pPr>
        </w:p>
      </w:tc>
      <w:tc>
        <w:tcPr>
          <w:tcW w:w="4057" w:type="dxa"/>
          <w:vMerge/>
        </w:tcPr>
        <w:p w:rsidR="00B45BB7" w:rsidRDefault="00B45BB7">
          <w:pPr>
            <w:keepLines/>
            <w:rPr>
              <w:b/>
            </w:rPr>
          </w:pPr>
        </w:p>
      </w:tc>
    </w:tr>
    <w:tr w:rsidR="00B45BB7">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B45BB7" w:rsidRDefault="004B5897">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B45BB7" w:rsidRDefault="004B5897">
          <w:pPr>
            <w:keepLines/>
          </w:pPr>
          <w:r>
            <w:rPr>
              <w:b/>
            </w:rPr>
            <w:t xml:space="preserve"> </w:t>
          </w:r>
        </w:p>
      </w:tc>
      <w:tc>
        <w:tcPr>
          <w:tcW w:w="4057" w:type="dxa"/>
          <w:vMerge/>
        </w:tcPr>
        <w:p w:rsidR="00B45BB7" w:rsidRDefault="00B45BB7">
          <w:pPr>
            <w:keepLines/>
          </w:pPr>
        </w:p>
      </w:tc>
    </w:tr>
  </w:tbl>
  <w:p w:rsidR="00B45BB7" w:rsidRDefault="00B45B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50C4"/>
    <w:multiLevelType w:val="multilevel"/>
    <w:tmpl w:val="D480BD1C"/>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1" w15:restartNumberingAfterBreak="0">
    <w:nsid w:val="3D6A57ED"/>
    <w:multiLevelType w:val="multilevel"/>
    <w:tmpl w:val="4C0E173C"/>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2" w15:restartNumberingAfterBreak="0">
    <w:nsid w:val="6BB6D783"/>
    <w:multiLevelType w:val="multilevel"/>
    <w:tmpl w:val="C7244AC0"/>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3" w15:restartNumberingAfterBreak="0">
    <w:nsid w:val="7AC84B9A"/>
    <w:multiLevelType w:val="multilevel"/>
    <w:tmpl w:val="36DAB8AE"/>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B7"/>
    <w:rsid w:val="00095A95"/>
    <w:rsid w:val="000A5CFD"/>
    <w:rsid w:val="001B1AF2"/>
    <w:rsid w:val="004B5897"/>
    <w:rsid w:val="006E6BBB"/>
    <w:rsid w:val="007C4F59"/>
    <w:rsid w:val="00B45BB7"/>
    <w:rsid w:val="00C129EB"/>
    <w:rsid w:val="00C1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7C32"/>
  <w15:docId w15:val="{41F1E812-0627-48A6-9D8D-4455DB8F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12</cp:revision>
  <cp:lastPrinted>2016-09-02T13:22:00Z</cp:lastPrinted>
  <dcterms:created xsi:type="dcterms:W3CDTF">2022-04-19T08:44:00Z</dcterms:created>
  <dcterms:modified xsi:type="dcterms:W3CDTF">2022-07-04T07:16:00Z</dcterms:modified>
</cp:coreProperties>
</file>